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VerisQ-EQS-NCTC10788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Staphylococcus aureus</w:t>
      </w:r>
      <w:r>
        <w:rPr>
          <w:rFonts w:ascii="Calibri" w:hAnsi="Calibri"/>
          <w:b w:val="0"/>
          <w:i w:val="0"/>
          <w:sz w:val="20"/>
        </w:rPr>
        <w:t xml:space="preserve"> NCTC 10788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Staphylococcus aureus</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10788</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6538</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00032</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CIP 4.83 = NBRC 13276 = NCIMB 9518 = FDA 209</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&lt;51&gt;, &lt;61&gt;, &lt;62&gt;,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2.6.13,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Antimicrobial preservative effectiveness; non-sterile product microbial enumeration; absence/presence of specified microorganisms; bioburden control.</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Staphylococcus aureus</w:t>
      </w:r>
      <w:r>
        <w:rPr>
          <w:rFonts w:ascii="Calibri" w:hAnsi="Calibri"/>
          <w:b w:val="0"/>
          <w:i w:val="0"/>
          <w:sz w:val="20"/>
        </w:rPr>
        <w:t xml:space="preserve"> NCTC 10788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6538</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left"/>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tustech_stamp.png"/>
                          <pic:cNvPicPr/>
                        </pic:nvPicPr>
                        <pic:blipFill>
                          <a:blip r:embed="rId9"/>
                          <a:stretch>
                            <a:fillRect/>
                          </a:stretch>
                        </pic:blipFill>
                        <pic:spPr>
                          <a:xfrm>
                            <a:off x="0" y="0"/>
                            <a:ext cx="1620000" cy="162000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