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VerisQ-EQS-NCTC12935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Clostridium sporogenes</w:t>
      </w:r>
      <w:r>
        <w:rPr>
          <w:rFonts w:ascii="Calibri" w:hAnsi="Calibri"/>
          <w:b w:val="0"/>
          <w:i w:val="0"/>
          <w:sz w:val="20"/>
        </w:rPr>
        <w:t xml:space="preserve"> NCTC 12935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Clostridium sporogenes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12935</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11437</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00008</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DSM 1446 = CIP 100651 = NBRC 14293 = NCIMB 12343</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&lt;71&gt;,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 2.6.12,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4.06</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Sterility test growth promotion (anaerobic positive control); fluid thioglycollate medium suitability; anaerobic QC.</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Clostridium sporogenes</w:t>
      </w:r>
      <w:r>
        <w:rPr>
          <w:rFonts w:ascii="Calibri" w:hAnsi="Calibri"/>
          <w:b w:val="0"/>
          <w:i w:val="0"/>
          <w:sz w:val="20"/>
        </w:rPr>
        <w:t xml:space="preserve"> NCTC 12935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11437</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left"/>
            </w:pPr>
            <w:r>
              <w:drawing>
                <wp:inline xmlns:a="http://schemas.openxmlformats.org/drawingml/2006/main" xmlns:pic="http://schemas.openxmlformats.org/drawingml/2006/picture">
                  <wp:extent cx="1620000" cy="1620000"/>
                  <wp:docPr id="1" name="Picture 1"/>
                  <wp:cNvGraphicFramePr>
                    <a:graphicFrameLocks noChangeAspect="1"/>
                  </wp:cNvGraphicFramePr>
                  <a:graphic>
                    <a:graphicData uri="http://schemas.openxmlformats.org/drawingml/2006/picture">
                      <pic:pic>
                        <pic:nvPicPr>
                          <pic:cNvPr id="0" name="lotustech_stamp.png"/>
                          <pic:cNvPicPr/>
                        </pic:nvPicPr>
                        <pic:blipFill>
                          <a:blip r:embed="rId9"/>
                          <a:stretch>
                            <a:fillRect/>
                          </a:stretch>
                        </pic:blipFill>
                        <pic:spPr>
                          <a:xfrm>
                            <a:off x="0" y="0"/>
                            <a:ext cx="1620000" cy="162000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t>UKHSA Material Licence: BE25 009</w:t>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