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CA52A">
      <w:pPr>
        <w:bidi w:val="0"/>
        <w:rPr>
          <w:rFonts w:hint="eastAsia"/>
          <w:b/>
          <w:bCs/>
          <w:lang w:val="en-US" w:eastAsia="zh-CN"/>
        </w:rPr>
      </w:pPr>
      <w:r>
        <w:rPr>
          <w:rFonts w:hint="eastAsia"/>
          <w:b/>
          <w:bCs/>
          <w:lang w:val="en-US" w:eastAsia="zh-CN"/>
        </w:rPr>
        <w:t>1、</w:t>
      </w:r>
      <w:r>
        <w:rPr>
          <w:rFonts w:hint="eastAsia"/>
          <w:b/>
          <w:bCs/>
          <w:lang w:val="en-US" w:eastAsia="zh-CN"/>
        </w:rPr>
        <w:t>Data Preparation</w:t>
      </w:r>
      <w:r>
        <w:rPr>
          <w:rFonts w:hint="eastAsia"/>
          <w:b/>
          <w:bCs/>
          <w:lang w:val="en-US" w:eastAsia="zh-CN"/>
        </w:rPr>
        <w:t>：</w:t>
      </w:r>
    </w:p>
    <w:p w14:paraId="1848BA1D">
      <w:pPr>
        <w:bidi w:val="0"/>
        <w:ind w:leftChars="100"/>
        <w:rPr>
          <w:rFonts w:hint="eastAsia"/>
          <w:lang w:val="en-US" w:eastAsia="zh-CN"/>
        </w:rPr>
      </w:pPr>
      <w:r>
        <w:rPr>
          <w:rFonts w:hint="eastAsia"/>
          <w:lang w:val="en-US" w:eastAsia="zh-CN"/>
        </w:rPr>
        <w:t>Ecosystem type data：</w:t>
      </w:r>
      <w:r>
        <w:rPr>
          <w:rFonts w:hint="eastAsia"/>
          <w:lang w:val="en-US" w:eastAsia="zh-CN"/>
        </w:rPr>
        <w:t>30-meter resolution, sourced from GLC_GCS30.</w:t>
      </w:r>
    </w:p>
    <w:p w14:paraId="148AC35A">
      <w:pPr>
        <w:bidi w:val="0"/>
        <w:ind w:leftChars="100"/>
        <w:rPr>
          <w:rFonts w:hint="eastAsia"/>
          <w:lang w:val="en-US" w:eastAsia="zh-CN"/>
        </w:rPr>
      </w:pPr>
      <w:r>
        <w:rPr>
          <w:rFonts w:hint="eastAsia"/>
          <w:lang w:val="en-US" w:eastAsia="zh-CN"/>
        </w:rPr>
        <w:t>Vegetation index data: 30-meter resolution, obtained from Google Earth Engine (GEE).</w:t>
      </w:r>
    </w:p>
    <w:p w14:paraId="4C576217">
      <w:pPr>
        <w:bidi w:val="0"/>
        <w:ind w:leftChars="100"/>
        <w:rPr>
          <w:rFonts w:hint="eastAsia"/>
          <w:lang w:val="en-US" w:eastAsia="zh-CN"/>
        </w:rPr>
      </w:pPr>
      <w:r>
        <w:rPr>
          <w:rFonts w:hint="eastAsia"/>
          <w:lang w:val="en-US" w:eastAsia="zh-CN"/>
        </w:rPr>
        <w:t>Water cover data: 30-meter resolution, derived from GAMLSW30.</w:t>
      </w:r>
    </w:p>
    <w:p w14:paraId="2961067B">
      <w:pPr>
        <w:bidi w:val="0"/>
        <w:ind w:leftChars="100"/>
        <w:rPr>
          <w:rFonts w:hint="eastAsia"/>
          <w:lang w:val="en-US" w:eastAsia="zh-CN"/>
        </w:rPr>
      </w:pPr>
      <w:r>
        <w:rPr>
          <w:rFonts w:hint="eastAsia"/>
          <w:lang w:val="en-US" w:eastAsia="zh-CN"/>
        </w:rPr>
        <w:t xml:space="preserve">Species richness data: Accessed from </w:t>
      </w:r>
      <w:r>
        <w:rPr>
          <w:rFonts w:hint="eastAsia"/>
          <w:lang w:val="en-US" w:eastAsia="zh-CN"/>
        </w:rPr>
        <w:fldChar w:fldCharType="begin"/>
      </w:r>
      <w:r>
        <w:rPr>
          <w:rFonts w:hint="eastAsia"/>
          <w:lang w:val="en-US" w:eastAsia="zh-CN"/>
        </w:rPr>
        <w:instrText xml:space="preserve"> HYPERLINK "https://biodiversitymapping.org." </w:instrText>
      </w:r>
      <w:r>
        <w:rPr>
          <w:rFonts w:hint="eastAsia"/>
          <w:lang w:val="en-US" w:eastAsia="zh-CN"/>
        </w:rPr>
        <w:fldChar w:fldCharType="separate"/>
      </w:r>
      <w:r>
        <w:rPr>
          <w:rFonts w:hint="eastAsia"/>
          <w:lang w:val="en-US" w:eastAsia="zh-CN"/>
        </w:rPr>
        <w:t>https://biodiversitymapping.org.</w:t>
      </w:r>
      <w:r>
        <w:rPr>
          <w:rFonts w:hint="eastAsia"/>
          <w:lang w:val="en-US" w:eastAsia="zh-CN"/>
        </w:rPr>
        <w:fldChar w:fldCharType="end"/>
      </w:r>
    </w:p>
    <w:p w14:paraId="5DE7A2B9">
      <w:pPr>
        <w:bidi w:val="0"/>
        <w:ind w:leftChars="100"/>
        <w:rPr>
          <w:rFonts w:hint="eastAsia"/>
          <w:lang w:val="en-US" w:eastAsia="zh-CN"/>
        </w:rPr>
      </w:pPr>
      <w:r>
        <w:rPr>
          <w:rFonts w:hint="eastAsia"/>
          <w:lang w:val="en-US" w:eastAsia="zh-CN"/>
        </w:rPr>
        <w:t>Using the ecosystem type data as a reference, all datasets were resampled to ensure spatial consistency, followed by correlation analysis.</w:t>
      </w:r>
    </w:p>
    <w:p w14:paraId="254278A6">
      <w:pPr>
        <w:bidi w:val="0"/>
        <w:ind w:leftChars="100"/>
        <w:rPr>
          <w:rFonts w:hint="default"/>
          <w:lang w:val="en-US" w:eastAsia="zh-CN"/>
        </w:rPr>
      </w:pPr>
    </w:p>
    <w:p w14:paraId="6DB6B79F">
      <w:pPr>
        <w:bidi w:val="0"/>
        <w:rPr>
          <w:rFonts w:hint="eastAsia"/>
          <w:b/>
          <w:bCs/>
          <w:lang w:val="en-US" w:eastAsia="zh-CN"/>
        </w:rPr>
      </w:pPr>
      <w:r>
        <w:rPr>
          <w:rFonts w:hint="eastAsia"/>
          <w:b/>
          <w:bCs/>
          <w:lang w:val="en-US" w:eastAsia="zh-CN"/>
        </w:rPr>
        <w:t>2、Technical workflow：</w:t>
      </w:r>
    </w:p>
    <w:p w14:paraId="61DABDCC">
      <w:pPr>
        <w:bidi w:val="0"/>
        <w:jc w:val="center"/>
      </w:pPr>
      <w:r>
        <w:drawing>
          <wp:inline distT="0" distB="0" distL="114300" distR="114300">
            <wp:extent cx="5272405" cy="2901950"/>
            <wp:effectExtent l="0" t="0" r="1079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01950"/>
                    </a:xfrm>
                    <a:prstGeom prst="rect">
                      <a:avLst/>
                    </a:prstGeom>
                    <a:noFill/>
                    <a:ln>
                      <a:noFill/>
                    </a:ln>
                  </pic:spPr>
                </pic:pic>
              </a:graphicData>
            </a:graphic>
          </wp:inline>
        </w:drawing>
      </w:r>
    </w:p>
    <w:p w14:paraId="4E7D81D5">
      <w:pPr>
        <w:bidi w:val="0"/>
        <w:rPr>
          <w:rFonts w:hint="eastAsia"/>
          <w:lang w:val="en-US" w:eastAsia="zh-CN"/>
        </w:rPr>
      </w:pPr>
      <w:r>
        <w:rPr>
          <w:rFonts w:hint="eastAsia"/>
          <w:lang w:val="en-US" w:eastAsia="zh-CN"/>
        </w:rPr>
        <w:t>Figure 1. Technical workflow for assessing SDG15.1.2 based on Earth Big Data. Part A: Data and methodologies required for constructing the iMBI. Part B: Validation of BI accuracy using species richness data. Part C: Calculation process of the SDG15.1.2 indicator.</w:t>
      </w:r>
    </w:p>
    <w:p w14:paraId="3039B194">
      <w:pPr>
        <w:bidi w:val="0"/>
        <w:rPr>
          <w:rFonts w:hint="eastAsia"/>
          <w:lang w:val="en-US" w:eastAsia="zh-CN"/>
        </w:rPr>
      </w:pPr>
    </w:p>
    <w:p w14:paraId="77B27E80">
      <w:pPr>
        <w:bidi w:val="0"/>
        <w:rPr>
          <w:rFonts w:hint="eastAsia"/>
          <w:b/>
          <w:bCs/>
          <w:lang w:val="en-US" w:eastAsia="zh-CN"/>
        </w:rPr>
      </w:pPr>
      <w:r>
        <w:rPr>
          <w:rFonts w:hint="eastAsia"/>
          <w:b/>
          <w:bCs/>
          <w:lang w:val="en-US" w:eastAsia="zh-CN"/>
        </w:rPr>
        <w:t>3、Weights of sub-indicators and computational tools：</w:t>
      </w:r>
    </w:p>
    <w:p w14:paraId="261B27C4">
      <w:pPr>
        <w:bidi w:val="0"/>
        <w:jc w:val="center"/>
        <w:rPr>
          <w:rFonts w:hint="default"/>
          <w:lang w:val="en-AU"/>
        </w:rPr>
      </w:pPr>
      <w:r>
        <w:rPr>
          <w:rFonts w:hint="default"/>
          <w:lang w:val="en-AU"/>
        </w:rPr>
        <w:t xml:space="preserve">Table </w:t>
      </w:r>
      <w:r>
        <w:rPr>
          <w:rFonts w:hint="eastAsia"/>
          <w:lang w:val="en-US" w:eastAsia="zh-CN"/>
        </w:rPr>
        <w:t>1</w:t>
      </w:r>
      <w:r>
        <w:rPr>
          <w:rFonts w:hint="default"/>
          <w:lang w:val="en-AU"/>
        </w:rPr>
        <w:t xml:space="preserve"> The definition and weight of the seven sub-indices for calculating iMBI.</w:t>
      </w:r>
    </w:p>
    <w:tbl>
      <w:tblPr>
        <w:tblStyle w:val="3"/>
        <w:tblW w:w="4934"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27"/>
        <w:gridCol w:w="1297"/>
        <w:gridCol w:w="3028"/>
        <w:gridCol w:w="1308"/>
        <w:gridCol w:w="1843"/>
      </w:tblGrid>
      <w:tr w14:paraId="4DBCC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tcBorders>
              <w:top w:val="single" w:color="auto" w:sz="8" w:space="0"/>
              <w:left w:val="nil"/>
              <w:bottom w:val="single" w:color="auto" w:sz="6" w:space="0"/>
              <w:right w:val="nil"/>
            </w:tcBorders>
            <w:shd w:val="clear"/>
            <w:tcMar>
              <w:left w:w="108" w:type="dxa"/>
              <w:right w:w="108" w:type="dxa"/>
            </w:tcMar>
            <w:vAlign w:val="center"/>
          </w:tcPr>
          <w:p w14:paraId="19DFE05E">
            <w:pPr>
              <w:bidi w:val="0"/>
              <w:rPr>
                <w:rFonts w:hint="default"/>
                <w:lang w:val="en-US"/>
              </w:rPr>
            </w:pPr>
            <w:r>
              <w:rPr>
                <w:rFonts w:hint="default"/>
                <w:lang w:val="en-US"/>
              </w:rPr>
              <w:t>Target</w:t>
            </w:r>
          </w:p>
        </w:tc>
        <w:tc>
          <w:tcPr>
            <w:tcW w:w="781" w:type="pct"/>
            <w:tcBorders>
              <w:top w:val="single" w:color="auto" w:sz="8" w:space="0"/>
              <w:left w:val="nil"/>
              <w:bottom w:val="single" w:color="auto" w:sz="6" w:space="0"/>
              <w:right w:val="nil"/>
            </w:tcBorders>
            <w:shd w:val="clear"/>
            <w:tcMar>
              <w:left w:w="108" w:type="dxa"/>
              <w:right w:w="108" w:type="dxa"/>
            </w:tcMar>
            <w:vAlign w:val="center"/>
          </w:tcPr>
          <w:p w14:paraId="1566E57A">
            <w:pPr>
              <w:bidi w:val="0"/>
              <w:rPr>
                <w:rFonts w:hint="default"/>
                <w:lang w:val="en-US"/>
              </w:rPr>
            </w:pPr>
            <w:r>
              <w:rPr>
                <w:rFonts w:hint="default"/>
                <w:lang w:val="en-US"/>
              </w:rPr>
              <w:t>Facet</w:t>
            </w:r>
          </w:p>
        </w:tc>
        <w:tc>
          <w:tcPr>
            <w:tcW w:w="1823" w:type="pct"/>
            <w:tcBorders>
              <w:top w:val="single" w:color="auto" w:sz="8" w:space="0"/>
              <w:left w:val="nil"/>
              <w:bottom w:val="single" w:color="auto" w:sz="6" w:space="0"/>
              <w:right w:val="nil"/>
            </w:tcBorders>
            <w:shd w:val="clear"/>
            <w:tcMar>
              <w:left w:w="108" w:type="dxa"/>
              <w:right w:w="108" w:type="dxa"/>
            </w:tcMar>
            <w:vAlign w:val="center"/>
          </w:tcPr>
          <w:p w14:paraId="3858EE00">
            <w:pPr>
              <w:bidi w:val="0"/>
              <w:rPr>
                <w:rFonts w:hint="default"/>
                <w:lang w:val="en-US"/>
              </w:rPr>
            </w:pPr>
            <w:r>
              <w:rPr>
                <w:rFonts w:hint="default"/>
                <w:lang w:val="en-US"/>
              </w:rPr>
              <w:t>Indices</w:t>
            </w:r>
          </w:p>
        </w:tc>
        <w:tc>
          <w:tcPr>
            <w:tcW w:w="787" w:type="pct"/>
            <w:tcBorders>
              <w:top w:val="single" w:color="auto" w:sz="8" w:space="0"/>
              <w:left w:val="nil"/>
              <w:bottom w:val="single" w:color="auto" w:sz="6" w:space="0"/>
              <w:right w:val="nil"/>
            </w:tcBorders>
            <w:shd w:val="clear"/>
            <w:tcMar>
              <w:left w:w="108" w:type="dxa"/>
              <w:right w:w="108" w:type="dxa"/>
            </w:tcMar>
            <w:vAlign w:val="center"/>
          </w:tcPr>
          <w:p w14:paraId="58F7A414">
            <w:pPr>
              <w:bidi w:val="0"/>
              <w:rPr>
                <w:rFonts w:hint="default"/>
                <w:lang w:val="en-US"/>
              </w:rPr>
            </w:pPr>
            <w:r>
              <w:rPr>
                <w:rFonts w:hint="default"/>
                <w:lang w:val="en-US"/>
              </w:rPr>
              <w:t>Weight</w:t>
            </w:r>
          </w:p>
        </w:tc>
        <w:tc>
          <w:tcPr>
            <w:tcW w:w="1109" w:type="pct"/>
            <w:tcBorders>
              <w:top w:val="single" w:color="auto" w:sz="8" w:space="0"/>
              <w:left w:val="nil"/>
              <w:bottom w:val="single" w:color="auto" w:sz="6" w:space="0"/>
              <w:right w:val="nil"/>
            </w:tcBorders>
            <w:shd w:val="clear"/>
            <w:vAlign w:val="center"/>
          </w:tcPr>
          <w:p w14:paraId="5A77FC37">
            <w:pPr>
              <w:bidi w:val="0"/>
              <w:rPr>
                <w:rFonts w:hint="default"/>
                <w:lang w:val="en-US"/>
              </w:rPr>
            </w:pPr>
            <w:r>
              <w:rPr>
                <w:rFonts w:hint="default"/>
                <w:lang w:val="en-US"/>
              </w:rPr>
              <w:t>Method &amp; Data</w:t>
            </w:r>
          </w:p>
        </w:tc>
      </w:tr>
      <w:tr w14:paraId="44286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restart"/>
            <w:tcBorders>
              <w:top w:val="nil"/>
              <w:left w:val="nil"/>
              <w:bottom w:val="single" w:color="auto" w:sz="8" w:space="0"/>
              <w:right w:val="nil"/>
            </w:tcBorders>
            <w:shd w:val="clear"/>
            <w:tcMar>
              <w:left w:w="108" w:type="dxa"/>
              <w:right w:w="108" w:type="dxa"/>
            </w:tcMar>
            <w:vAlign w:val="center"/>
          </w:tcPr>
          <w:p w14:paraId="758834E7">
            <w:pPr>
              <w:bidi w:val="0"/>
              <w:rPr>
                <w:rFonts w:hint="default"/>
                <w:lang w:val="en-US"/>
              </w:rPr>
            </w:pPr>
            <w:r>
              <w:rPr>
                <w:rFonts w:hint="default"/>
                <w:lang w:val="en-US"/>
              </w:rPr>
              <w:t>iMBI</w:t>
            </w:r>
          </w:p>
          <w:p w14:paraId="38142428">
            <w:pPr>
              <w:bidi w:val="0"/>
              <w:rPr>
                <w:rFonts w:hint="default"/>
                <w:lang w:val="en-US"/>
              </w:rPr>
            </w:pPr>
          </w:p>
        </w:tc>
        <w:tc>
          <w:tcPr>
            <w:tcW w:w="781" w:type="pct"/>
            <w:vMerge w:val="restart"/>
            <w:tcBorders>
              <w:top w:val="nil"/>
              <w:left w:val="nil"/>
              <w:bottom w:val="single" w:color="auto" w:sz="4" w:space="0"/>
              <w:right w:val="nil"/>
            </w:tcBorders>
            <w:shd w:val="clear"/>
            <w:tcMar>
              <w:left w:w="108" w:type="dxa"/>
              <w:right w:w="108" w:type="dxa"/>
            </w:tcMar>
            <w:vAlign w:val="center"/>
          </w:tcPr>
          <w:p w14:paraId="540CE581">
            <w:pPr>
              <w:bidi w:val="0"/>
              <w:rPr>
                <w:rFonts w:hint="default"/>
                <w:lang w:val="en-US"/>
              </w:rPr>
            </w:pPr>
            <w:r>
              <w:rPr>
                <w:rFonts w:hint="default"/>
                <w:lang w:val="en-US"/>
              </w:rPr>
              <w:t>Species diversity</w:t>
            </w:r>
          </w:p>
        </w:tc>
        <w:tc>
          <w:tcPr>
            <w:tcW w:w="1823" w:type="pct"/>
            <w:shd w:val="clear"/>
            <w:tcMar>
              <w:left w:w="108" w:type="dxa"/>
              <w:right w:w="108" w:type="dxa"/>
            </w:tcMar>
            <w:vAlign w:val="center"/>
          </w:tcPr>
          <w:p w14:paraId="32159177">
            <w:pPr>
              <w:bidi w:val="0"/>
              <w:rPr>
                <w:rFonts w:hint="default"/>
                <w:lang w:val="en-US"/>
              </w:rPr>
            </w:pPr>
            <w:r>
              <w:rPr>
                <w:rFonts w:hint="default"/>
                <w:lang w:val="en-US"/>
              </w:rPr>
              <w:t>Habitat Quality Index (HQI)</w:t>
            </w:r>
          </w:p>
        </w:tc>
        <w:tc>
          <w:tcPr>
            <w:tcW w:w="787" w:type="pct"/>
            <w:shd w:val="clear"/>
            <w:tcMar>
              <w:left w:w="108" w:type="dxa"/>
              <w:right w:w="108" w:type="dxa"/>
            </w:tcMar>
            <w:vAlign w:val="center"/>
          </w:tcPr>
          <w:p w14:paraId="3D60781B">
            <w:pPr>
              <w:bidi w:val="0"/>
              <w:rPr>
                <w:rFonts w:hint="default"/>
                <w:lang w:val="en-US"/>
              </w:rPr>
            </w:pPr>
            <w:r>
              <w:rPr>
                <w:rFonts w:hint="default"/>
                <w:lang w:val="en-US"/>
              </w:rPr>
              <w:t>+0.35*</w:t>
            </w:r>
          </w:p>
        </w:tc>
        <w:tc>
          <w:tcPr>
            <w:tcW w:w="1109" w:type="pct"/>
            <w:shd w:val="clear"/>
            <w:vAlign w:val="top"/>
          </w:tcPr>
          <w:p w14:paraId="4826EECF">
            <w:pPr>
              <w:bidi w:val="0"/>
              <w:rPr>
                <w:rFonts w:hint="default"/>
                <w:lang w:val="en-US"/>
              </w:rPr>
            </w:pPr>
            <w:r>
              <w:rPr>
                <w:rFonts w:hint="default"/>
                <w:lang w:val="en-US"/>
              </w:rPr>
              <w:t>InVEST-HQ model by using land cover data</w:t>
            </w:r>
            <w:r>
              <w:rPr>
                <w:rFonts w:hint="default" w:ascii="Times New Roman" w:hAnsi="Times New Roman" w:cs="Times New Roman"/>
                <w:bdr w:val="none" w:color="auto" w:sz="0" w:space="0"/>
                <w:lang w:val="en-US"/>
              </w:rPr>
              <w:fldChar w:fldCharType="begin"/>
            </w:r>
            <w:r>
              <w:rPr>
                <w:rFonts w:hint="default" w:ascii="Times New Roman" w:hAnsi="Times New Roman" w:cs="Times New Roman"/>
                <w:bdr w:val="none" w:color="auto" w:sz="0" w:space="0"/>
                <w:lang w:val="en-US"/>
              </w:rPr>
              <w:instrText xml:space="preserve"> ADDIN EN.CITE </w:instrText>
            </w:r>
            <w:r>
              <w:rPr>
                <w:rFonts w:hint="default" w:ascii="Times New Roman" w:hAnsi="Times New Roman" w:cs="Times New Roman"/>
                <w:bdr w:val="none" w:color="auto" w:sz="0" w:space="0"/>
                <w:lang w:val="en-US"/>
              </w:rPr>
              <w:fldChar w:fldCharType="begin"/>
            </w:r>
            <w:r>
              <w:rPr>
                <w:rFonts w:hint="default" w:ascii="Times New Roman" w:hAnsi="Times New Roman" w:cs="Times New Roman"/>
                <w:bdr w:val="none" w:color="auto" w:sz="0" w:space="0"/>
                <w:lang w:val="en-US"/>
              </w:rPr>
              <w:instrText xml:space="preserve"> ADDIN EN.CITE.DATA </w:instrText>
            </w:r>
            <w:r>
              <w:rPr>
                <w:rFonts w:hint="default" w:ascii="Times New Roman" w:hAnsi="Times New Roman" w:cs="Times New Roman"/>
                <w:bdr w:val="none" w:color="auto" w:sz="0" w:space="0"/>
                <w:lang w:val="en-US"/>
              </w:rPr>
              <w:fldChar w:fldCharType="separate"/>
            </w:r>
            <w:r>
              <w:rPr>
                <w:rFonts w:hint="default" w:ascii="Times New Roman" w:hAnsi="Times New Roman" w:cs="Times New Roman"/>
                <w:bdr w:val="none" w:color="auto" w:sz="0" w:space="0"/>
                <w:lang w:val="en-US"/>
              </w:rPr>
              <w:fldChar w:fldCharType="end"/>
            </w:r>
            <w:r>
              <w:rPr>
                <w:rFonts w:hint="default" w:ascii="Times New Roman" w:hAnsi="Times New Roman" w:cs="Times New Roman"/>
                <w:bdr w:val="none" w:color="auto" w:sz="0" w:space="0"/>
                <w:lang w:val="en-US"/>
              </w:rPr>
              <w:fldChar w:fldCharType="separate"/>
            </w:r>
            <w:r>
              <w:rPr>
                <w:rFonts w:hint="default" w:ascii="Times New Roman" w:hAnsi="Times New Roman" w:cs="Times New Roman"/>
                <w:bdr w:val="none" w:color="auto" w:sz="0" w:space="0"/>
                <w:lang w:val="en-US"/>
              </w:rPr>
              <w:t>(Sharp et al. 2016; Tarantino et al. 2023; Terrado et al. 2016)</w:t>
            </w:r>
            <w:r>
              <w:rPr>
                <w:rFonts w:hint="default" w:ascii="Times New Roman" w:hAnsi="Times New Roman" w:cs="Times New Roman"/>
                <w:bdr w:val="none" w:color="auto" w:sz="0" w:space="0"/>
                <w:lang w:val="en-US"/>
              </w:rPr>
              <w:fldChar w:fldCharType="end"/>
            </w:r>
          </w:p>
        </w:tc>
      </w:tr>
      <w:tr w14:paraId="265BF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7EDB6D4B">
            <w:pPr>
              <w:bidi w:val="0"/>
              <w:rPr>
                <w:rFonts w:hint="default"/>
              </w:rPr>
            </w:pPr>
          </w:p>
        </w:tc>
        <w:tc>
          <w:tcPr>
            <w:tcW w:w="781" w:type="pct"/>
            <w:vMerge w:val="continue"/>
            <w:tcBorders>
              <w:top w:val="nil"/>
              <w:left w:val="nil"/>
              <w:bottom w:val="single" w:color="auto" w:sz="4" w:space="0"/>
              <w:right w:val="nil"/>
            </w:tcBorders>
            <w:shd w:val="clear"/>
            <w:tcMar>
              <w:left w:w="108" w:type="dxa"/>
              <w:right w:w="108" w:type="dxa"/>
            </w:tcMar>
            <w:vAlign w:val="center"/>
          </w:tcPr>
          <w:p w14:paraId="371273D0">
            <w:pPr>
              <w:bidi w:val="0"/>
              <w:rPr>
                <w:rFonts w:hint="default"/>
              </w:rPr>
            </w:pPr>
          </w:p>
        </w:tc>
        <w:tc>
          <w:tcPr>
            <w:tcW w:w="1823" w:type="pct"/>
            <w:shd w:val="clear"/>
            <w:tcMar>
              <w:left w:w="108" w:type="dxa"/>
              <w:right w:w="108" w:type="dxa"/>
            </w:tcMar>
            <w:vAlign w:val="center"/>
          </w:tcPr>
          <w:p w14:paraId="4486DFB7">
            <w:pPr>
              <w:bidi w:val="0"/>
              <w:rPr>
                <w:rFonts w:hint="default"/>
                <w:lang w:val="en-US"/>
              </w:rPr>
            </w:pPr>
            <w:r>
              <w:rPr>
                <w:rFonts w:hint="default"/>
                <w:lang w:val="en-US"/>
              </w:rPr>
              <w:t>Enhanced Vegetation Index (EVI)</w:t>
            </w:r>
          </w:p>
        </w:tc>
        <w:tc>
          <w:tcPr>
            <w:tcW w:w="787" w:type="pct"/>
            <w:shd w:val="clear"/>
            <w:tcMar>
              <w:left w:w="108" w:type="dxa"/>
              <w:right w:w="108" w:type="dxa"/>
            </w:tcMar>
            <w:vAlign w:val="center"/>
          </w:tcPr>
          <w:p w14:paraId="41B0395A">
            <w:pPr>
              <w:bidi w:val="0"/>
              <w:rPr>
                <w:rFonts w:hint="default"/>
                <w:lang w:val="en-US"/>
              </w:rPr>
            </w:pPr>
            <w:r>
              <w:rPr>
                <w:rFonts w:hint="default"/>
                <w:lang w:val="en-US"/>
              </w:rPr>
              <w:t>+0.30</w:t>
            </w:r>
          </w:p>
        </w:tc>
        <w:tc>
          <w:tcPr>
            <w:tcW w:w="1109" w:type="pct"/>
            <w:shd w:val="clear"/>
            <w:vAlign w:val="top"/>
          </w:tcPr>
          <w:p w14:paraId="57A564E7">
            <w:pPr>
              <w:bidi w:val="0"/>
              <w:rPr>
                <w:rFonts w:hint="default"/>
                <w:lang w:val="en-US"/>
              </w:rPr>
            </w:pPr>
            <w:r>
              <w:rPr>
                <w:rFonts w:hint="default"/>
                <w:lang w:val="en-US"/>
              </w:rPr>
              <w:t>Landsat/TM, Landsat/OLI data from GEE</w:t>
            </w:r>
          </w:p>
        </w:tc>
      </w:tr>
      <w:tr w14:paraId="18E35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550B1039">
            <w:pPr>
              <w:bidi w:val="0"/>
              <w:rPr>
                <w:rFonts w:hint="default"/>
              </w:rPr>
            </w:pPr>
          </w:p>
        </w:tc>
        <w:tc>
          <w:tcPr>
            <w:tcW w:w="781" w:type="pct"/>
            <w:vMerge w:val="continue"/>
            <w:tcBorders>
              <w:top w:val="nil"/>
              <w:left w:val="nil"/>
              <w:bottom w:val="single" w:color="auto" w:sz="4" w:space="0"/>
              <w:right w:val="nil"/>
            </w:tcBorders>
            <w:shd w:val="clear"/>
            <w:tcMar>
              <w:left w:w="108" w:type="dxa"/>
              <w:right w:w="108" w:type="dxa"/>
            </w:tcMar>
            <w:vAlign w:val="center"/>
          </w:tcPr>
          <w:p w14:paraId="538B0FBA">
            <w:pPr>
              <w:bidi w:val="0"/>
              <w:rPr>
                <w:rFonts w:hint="default"/>
              </w:rPr>
            </w:pPr>
          </w:p>
        </w:tc>
        <w:tc>
          <w:tcPr>
            <w:tcW w:w="1823" w:type="pct"/>
            <w:tcBorders>
              <w:top w:val="nil"/>
              <w:left w:val="nil"/>
              <w:bottom w:val="single" w:color="auto" w:sz="4" w:space="0"/>
              <w:right w:val="nil"/>
            </w:tcBorders>
            <w:shd w:val="clear"/>
            <w:tcMar>
              <w:left w:w="108" w:type="dxa"/>
              <w:right w:w="108" w:type="dxa"/>
            </w:tcMar>
            <w:vAlign w:val="center"/>
          </w:tcPr>
          <w:p w14:paraId="20172C7F">
            <w:pPr>
              <w:bidi w:val="0"/>
              <w:rPr>
                <w:rFonts w:hint="default"/>
                <w:lang w:val="en-US"/>
              </w:rPr>
            </w:pPr>
            <w:r>
              <w:rPr>
                <w:rFonts w:hint="default"/>
                <w:lang w:val="en-US"/>
              </w:rPr>
              <w:t>Water Network Density Index (WNDI)</w:t>
            </w:r>
          </w:p>
        </w:tc>
        <w:tc>
          <w:tcPr>
            <w:tcW w:w="787" w:type="pct"/>
            <w:tcBorders>
              <w:top w:val="nil"/>
              <w:left w:val="nil"/>
              <w:bottom w:val="single" w:color="auto" w:sz="4" w:space="0"/>
              <w:right w:val="nil"/>
            </w:tcBorders>
            <w:shd w:val="clear"/>
            <w:tcMar>
              <w:left w:w="108" w:type="dxa"/>
              <w:right w:w="108" w:type="dxa"/>
            </w:tcMar>
            <w:vAlign w:val="center"/>
          </w:tcPr>
          <w:p w14:paraId="3AE1A6DD">
            <w:pPr>
              <w:bidi w:val="0"/>
              <w:rPr>
                <w:rFonts w:hint="default"/>
                <w:lang w:val="en-US"/>
              </w:rPr>
            </w:pPr>
            <w:r>
              <w:rPr>
                <w:rFonts w:hint="default"/>
                <w:lang w:val="en-US"/>
              </w:rPr>
              <w:t>+0.11</w:t>
            </w:r>
          </w:p>
        </w:tc>
        <w:tc>
          <w:tcPr>
            <w:tcW w:w="1109" w:type="pct"/>
            <w:vMerge w:val="restart"/>
            <w:tcBorders>
              <w:top w:val="nil"/>
              <w:left w:val="nil"/>
              <w:bottom w:val="single" w:color="auto" w:sz="8" w:space="0"/>
              <w:right w:val="nil"/>
            </w:tcBorders>
            <w:shd w:val="clear"/>
            <w:vAlign w:val="center"/>
          </w:tcPr>
          <w:p w14:paraId="610629FC">
            <w:pPr>
              <w:bidi w:val="0"/>
              <w:rPr>
                <w:rFonts w:hint="default"/>
                <w:lang w:val="en-US"/>
              </w:rPr>
            </w:pPr>
            <w:r>
              <w:rPr>
                <w:rFonts w:hint="default"/>
                <w:lang w:val="en-US"/>
              </w:rPr>
              <w:t>moving window</w:t>
            </w:r>
          </w:p>
          <w:p w14:paraId="73C3CE9F">
            <w:pPr>
              <w:bidi w:val="0"/>
              <w:rPr>
                <w:rFonts w:hint="default"/>
                <w:lang w:val="en-US"/>
              </w:rPr>
            </w:pPr>
            <w:r>
              <w:rPr>
                <w:rFonts w:hint="default"/>
                <w:lang w:val="en-US"/>
              </w:rPr>
              <w:t xml:space="preserve">(calculate by MATLAB) by using land ecosystem data </w:t>
            </w:r>
            <w:r>
              <w:rPr>
                <w:rFonts w:hint="default" w:ascii="Times New Roman" w:hAnsi="Times New Roman" w:cs="Times New Roman"/>
                <w:bdr w:val="none" w:color="auto" w:sz="0" w:space="0"/>
                <w:lang w:val="en-US"/>
              </w:rPr>
              <w:fldChar w:fldCharType="begin"/>
            </w:r>
            <w:r>
              <w:rPr>
                <w:rFonts w:hint="default" w:ascii="Times New Roman" w:hAnsi="Times New Roman" w:cs="Times New Roman"/>
                <w:bdr w:val="none" w:color="auto" w:sz="0" w:space="0"/>
                <w:lang w:val="en-US"/>
              </w:rPr>
              <w:instrText xml:space="preserve"> ADDIN EN.CITE </w:instrText>
            </w:r>
            <w:r>
              <w:rPr>
                <w:rFonts w:hint="default" w:ascii="Times New Roman" w:hAnsi="Times New Roman" w:cs="Times New Roman"/>
                <w:bdr w:val="none" w:color="auto" w:sz="0" w:space="0"/>
                <w:lang w:val="en-US"/>
              </w:rPr>
              <w:fldChar w:fldCharType="begin"/>
            </w:r>
            <w:r>
              <w:rPr>
                <w:rFonts w:hint="default" w:ascii="Times New Roman" w:hAnsi="Times New Roman" w:cs="Times New Roman"/>
                <w:bdr w:val="none" w:color="auto" w:sz="0" w:space="0"/>
                <w:lang w:val="en-US"/>
              </w:rPr>
              <w:instrText xml:space="preserve"> ADDIN EN.CITE.DATA </w:instrText>
            </w:r>
            <w:r>
              <w:rPr>
                <w:rFonts w:hint="default" w:ascii="Times New Roman" w:hAnsi="Times New Roman" w:cs="Times New Roman"/>
                <w:bdr w:val="none" w:color="auto" w:sz="0" w:space="0"/>
                <w:lang w:val="en-US"/>
              </w:rPr>
              <w:fldChar w:fldCharType="separate"/>
            </w:r>
            <w:r>
              <w:rPr>
                <w:rFonts w:hint="default" w:ascii="Times New Roman" w:hAnsi="Times New Roman" w:cs="Times New Roman"/>
                <w:bdr w:val="none" w:color="auto" w:sz="0" w:space="0"/>
                <w:lang w:val="en-US"/>
              </w:rPr>
              <w:fldChar w:fldCharType="end"/>
            </w:r>
            <w:r>
              <w:rPr>
                <w:rFonts w:hint="default" w:ascii="Times New Roman" w:hAnsi="Times New Roman" w:cs="Times New Roman"/>
                <w:bdr w:val="none" w:color="auto" w:sz="0" w:space="0"/>
                <w:lang w:val="en-US"/>
              </w:rPr>
              <w:fldChar w:fldCharType="separate"/>
            </w:r>
            <w:r>
              <w:rPr>
                <w:rFonts w:hint="default" w:ascii="Times New Roman" w:hAnsi="Times New Roman" w:cs="Times New Roman"/>
                <w:bdr w:val="none" w:color="auto" w:sz="0" w:space="0"/>
                <w:lang w:val="en-US"/>
              </w:rPr>
              <w:t>(Li et al. 2014; Liu and He 2023; Liu et al. 2021; MacGarigal and Marks 1995; Shehab et al. 2021)</w:t>
            </w:r>
            <w:r>
              <w:rPr>
                <w:rFonts w:hint="default" w:ascii="Times New Roman" w:hAnsi="Times New Roman" w:cs="Times New Roman"/>
                <w:bdr w:val="none" w:color="auto" w:sz="0" w:space="0"/>
                <w:lang w:val="en-US"/>
              </w:rPr>
              <w:fldChar w:fldCharType="end"/>
            </w:r>
          </w:p>
        </w:tc>
      </w:tr>
      <w:tr w14:paraId="26B4D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041F4982">
            <w:pPr>
              <w:bidi w:val="0"/>
              <w:rPr>
                <w:rFonts w:hint="default"/>
              </w:rPr>
            </w:pPr>
          </w:p>
        </w:tc>
        <w:tc>
          <w:tcPr>
            <w:tcW w:w="781" w:type="pct"/>
            <w:tcBorders>
              <w:top w:val="nil"/>
              <w:left w:val="nil"/>
              <w:bottom w:val="single" w:color="auto" w:sz="4" w:space="0"/>
              <w:right w:val="nil"/>
            </w:tcBorders>
            <w:shd w:val="clear"/>
            <w:tcMar>
              <w:left w:w="108" w:type="dxa"/>
              <w:right w:w="108" w:type="dxa"/>
            </w:tcMar>
            <w:vAlign w:val="center"/>
          </w:tcPr>
          <w:p w14:paraId="44617111">
            <w:pPr>
              <w:bidi w:val="0"/>
              <w:rPr>
                <w:rFonts w:hint="default"/>
                <w:lang w:val="en-US"/>
              </w:rPr>
            </w:pPr>
            <w:r>
              <w:rPr>
                <w:rFonts w:hint="default"/>
                <w:lang w:val="en-US"/>
              </w:rPr>
              <w:t>Ecosystem diversity</w:t>
            </w:r>
          </w:p>
        </w:tc>
        <w:tc>
          <w:tcPr>
            <w:tcW w:w="1823" w:type="pct"/>
            <w:tcBorders>
              <w:top w:val="nil"/>
              <w:left w:val="nil"/>
              <w:bottom w:val="single" w:color="auto" w:sz="4" w:space="0"/>
              <w:right w:val="nil"/>
            </w:tcBorders>
            <w:shd w:val="clear"/>
            <w:tcMar>
              <w:left w:w="108" w:type="dxa"/>
              <w:right w:w="108" w:type="dxa"/>
            </w:tcMar>
            <w:vAlign w:val="center"/>
          </w:tcPr>
          <w:p w14:paraId="7A883C22">
            <w:pPr>
              <w:bidi w:val="0"/>
              <w:rPr>
                <w:rFonts w:hint="default"/>
                <w:lang w:val="en-US"/>
              </w:rPr>
            </w:pPr>
            <w:r>
              <w:rPr>
                <w:rFonts w:hint="default"/>
                <w:lang w:val="en-US"/>
              </w:rPr>
              <w:t>Habitat area percent (Sp)</w:t>
            </w:r>
          </w:p>
        </w:tc>
        <w:tc>
          <w:tcPr>
            <w:tcW w:w="787" w:type="pct"/>
            <w:tcBorders>
              <w:top w:val="nil"/>
              <w:left w:val="nil"/>
              <w:bottom w:val="single" w:color="auto" w:sz="4" w:space="0"/>
              <w:right w:val="nil"/>
            </w:tcBorders>
            <w:shd w:val="clear"/>
            <w:tcMar>
              <w:left w:w="108" w:type="dxa"/>
              <w:right w:w="108" w:type="dxa"/>
            </w:tcMar>
            <w:vAlign w:val="center"/>
          </w:tcPr>
          <w:p w14:paraId="59DBE9FE">
            <w:pPr>
              <w:bidi w:val="0"/>
              <w:rPr>
                <w:rFonts w:hint="default"/>
                <w:lang w:val="en-US"/>
              </w:rPr>
            </w:pPr>
            <w:r>
              <w:rPr>
                <w:rFonts w:hint="default"/>
                <w:lang w:val="en-US"/>
              </w:rPr>
              <w:t>+0.09</w:t>
            </w:r>
          </w:p>
        </w:tc>
        <w:tc>
          <w:tcPr>
            <w:tcW w:w="1109" w:type="pct"/>
            <w:vMerge w:val="continue"/>
            <w:tcBorders>
              <w:top w:val="nil"/>
              <w:left w:val="nil"/>
              <w:bottom w:val="single" w:color="auto" w:sz="8" w:space="0"/>
              <w:right w:val="nil"/>
            </w:tcBorders>
            <w:shd w:val="clear"/>
            <w:vAlign w:val="center"/>
          </w:tcPr>
          <w:p w14:paraId="7618B160">
            <w:pPr>
              <w:bidi w:val="0"/>
              <w:rPr>
                <w:rFonts w:hint="default"/>
              </w:rPr>
            </w:pPr>
          </w:p>
        </w:tc>
      </w:tr>
      <w:tr w14:paraId="2658E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6E5BF198">
            <w:pPr>
              <w:bidi w:val="0"/>
              <w:rPr>
                <w:rFonts w:hint="default"/>
              </w:rPr>
            </w:pPr>
          </w:p>
        </w:tc>
        <w:tc>
          <w:tcPr>
            <w:tcW w:w="781" w:type="pct"/>
            <w:vMerge w:val="restart"/>
            <w:tcBorders>
              <w:top w:val="nil"/>
              <w:left w:val="nil"/>
              <w:bottom w:val="single" w:color="auto" w:sz="8" w:space="0"/>
              <w:right w:val="nil"/>
            </w:tcBorders>
            <w:shd w:val="clear"/>
            <w:tcMar>
              <w:left w:w="108" w:type="dxa"/>
              <w:right w:w="108" w:type="dxa"/>
            </w:tcMar>
            <w:vAlign w:val="center"/>
          </w:tcPr>
          <w:p w14:paraId="487154E8">
            <w:pPr>
              <w:bidi w:val="0"/>
              <w:rPr>
                <w:rFonts w:hint="default"/>
                <w:lang w:val="en-US"/>
              </w:rPr>
            </w:pPr>
            <w:r>
              <w:rPr>
                <w:rFonts w:hint="default"/>
                <w:lang w:val="en-US"/>
              </w:rPr>
              <w:t>Landscape diversity</w:t>
            </w:r>
          </w:p>
        </w:tc>
        <w:tc>
          <w:tcPr>
            <w:tcW w:w="1823" w:type="pct"/>
            <w:shd w:val="clear"/>
            <w:tcMar>
              <w:left w:w="108" w:type="dxa"/>
              <w:right w:w="108" w:type="dxa"/>
            </w:tcMar>
            <w:vAlign w:val="center"/>
          </w:tcPr>
          <w:p w14:paraId="30A5C12C">
            <w:pPr>
              <w:bidi w:val="0"/>
              <w:rPr>
                <w:rFonts w:hint="default"/>
                <w:lang w:val="en-US"/>
              </w:rPr>
            </w:pPr>
            <w:r>
              <w:rPr>
                <w:rFonts w:hint="default"/>
                <w:lang w:val="en-US"/>
              </w:rPr>
              <w:t>Simpson's Diversity Index (SIDI)</w:t>
            </w:r>
          </w:p>
        </w:tc>
        <w:tc>
          <w:tcPr>
            <w:tcW w:w="787" w:type="pct"/>
            <w:shd w:val="clear"/>
            <w:tcMar>
              <w:left w:w="108" w:type="dxa"/>
              <w:right w:w="108" w:type="dxa"/>
            </w:tcMar>
            <w:vAlign w:val="center"/>
          </w:tcPr>
          <w:p w14:paraId="1BEE26F1">
            <w:pPr>
              <w:bidi w:val="0"/>
              <w:rPr>
                <w:rFonts w:hint="default"/>
                <w:lang w:val="en-US"/>
              </w:rPr>
            </w:pPr>
            <w:r>
              <w:rPr>
                <w:rFonts w:hint="default"/>
                <w:lang w:val="en-US"/>
              </w:rPr>
              <w:t>+0.16</w:t>
            </w:r>
          </w:p>
        </w:tc>
        <w:tc>
          <w:tcPr>
            <w:tcW w:w="1109" w:type="pct"/>
            <w:vMerge w:val="continue"/>
            <w:tcBorders>
              <w:top w:val="nil"/>
              <w:left w:val="nil"/>
              <w:bottom w:val="single" w:color="auto" w:sz="8" w:space="0"/>
              <w:right w:val="nil"/>
            </w:tcBorders>
            <w:shd w:val="clear"/>
            <w:vAlign w:val="center"/>
          </w:tcPr>
          <w:p w14:paraId="2EC6925B">
            <w:pPr>
              <w:bidi w:val="0"/>
              <w:rPr>
                <w:rFonts w:hint="default"/>
              </w:rPr>
            </w:pPr>
          </w:p>
        </w:tc>
      </w:tr>
      <w:tr w14:paraId="26E4F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0D6F0A37">
            <w:pPr>
              <w:bidi w:val="0"/>
              <w:rPr>
                <w:rFonts w:hint="default"/>
              </w:rPr>
            </w:pPr>
          </w:p>
        </w:tc>
        <w:tc>
          <w:tcPr>
            <w:tcW w:w="781" w:type="pct"/>
            <w:vMerge w:val="continue"/>
            <w:tcBorders>
              <w:top w:val="nil"/>
              <w:left w:val="nil"/>
              <w:bottom w:val="single" w:color="auto" w:sz="8" w:space="0"/>
              <w:right w:val="nil"/>
            </w:tcBorders>
            <w:shd w:val="clear"/>
            <w:tcMar>
              <w:left w:w="108" w:type="dxa"/>
              <w:right w:w="108" w:type="dxa"/>
            </w:tcMar>
            <w:vAlign w:val="center"/>
          </w:tcPr>
          <w:p w14:paraId="024DAD45">
            <w:pPr>
              <w:bidi w:val="0"/>
              <w:rPr>
                <w:rFonts w:hint="default"/>
              </w:rPr>
            </w:pPr>
          </w:p>
        </w:tc>
        <w:tc>
          <w:tcPr>
            <w:tcW w:w="1823" w:type="pct"/>
            <w:shd w:val="clear"/>
            <w:tcMar>
              <w:left w:w="108" w:type="dxa"/>
              <w:right w:w="108" w:type="dxa"/>
            </w:tcMar>
            <w:vAlign w:val="center"/>
          </w:tcPr>
          <w:p w14:paraId="664DE168">
            <w:pPr>
              <w:bidi w:val="0"/>
              <w:rPr>
                <w:rFonts w:hint="default"/>
                <w:lang w:val="en-US"/>
              </w:rPr>
            </w:pPr>
            <w:r>
              <w:rPr>
                <w:rFonts w:hint="default"/>
                <w:lang w:val="en-US"/>
              </w:rPr>
              <w:t>Landscape Contagion Index (CONTAG)</w:t>
            </w:r>
          </w:p>
        </w:tc>
        <w:tc>
          <w:tcPr>
            <w:tcW w:w="787" w:type="pct"/>
            <w:shd w:val="clear"/>
            <w:tcMar>
              <w:left w:w="108" w:type="dxa"/>
              <w:right w:w="108" w:type="dxa"/>
            </w:tcMar>
            <w:vAlign w:val="center"/>
          </w:tcPr>
          <w:p w14:paraId="455FAEE6">
            <w:pPr>
              <w:bidi w:val="0"/>
              <w:rPr>
                <w:rFonts w:hint="default"/>
                <w:lang w:val="en-US"/>
              </w:rPr>
            </w:pPr>
            <w:r>
              <w:rPr>
                <w:rFonts w:hint="default"/>
                <w:lang w:val="en-US"/>
              </w:rPr>
              <w:t>+0.09</w:t>
            </w:r>
          </w:p>
        </w:tc>
        <w:tc>
          <w:tcPr>
            <w:tcW w:w="1109" w:type="pct"/>
            <w:vMerge w:val="continue"/>
            <w:tcBorders>
              <w:top w:val="nil"/>
              <w:left w:val="nil"/>
              <w:bottom w:val="single" w:color="auto" w:sz="8" w:space="0"/>
              <w:right w:val="nil"/>
            </w:tcBorders>
            <w:shd w:val="clear"/>
            <w:vAlign w:val="center"/>
          </w:tcPr>
          <w:p w14:paraId="3399BF6B">
            <w:pPr>
              <w:bidi w:val="0"/>
              <w:rPr>
                <w:rFonts w:hint="default"/>
              </w:rPr>
            </w:pPr>
          </w:p>
        </w:tc>
      </w:tr>
      <w:tr w14:paraId="1A4FC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70" w:hRule="atLeast"/>
          <w:tblCellSpacing w:w="0" w:type="dxa"/>
          <w:jc w:val="center"/>
        </w:trPr>
        <w:tc>
          <w:tcPr>
            <w:tcW w:w="498" w:type="pct"/>
            <w:vMerge w:val="continue"/>
            <w:tcBorders>
              <w:top w:val="nil"/>
              <w:left w:val="nil"/>
              <w:bottom w:val="single" w:color="auto" w:sz="8" w:space="0"/>
              <w:right w:val="nil"/>
            </w:tcBorders>
            <w:shd w:val="clear"/>
            <w:tcMar>
              <w:left w:w="108" w:type="dxa"/>
              <w:right w:w="108" w:type="dxa"/>
            </w:tcMar>
            <w:vAlign w:val="center"/>
          </w:tcPr>
          <w:p w14:paraId="442F47EC">
            <w:pPr>
              <w:bidi w:val="0"/>
              <w:rPr>
                <w:rFonts w:hint="default"/>
              </w:rPr>
            </w:pPr>
          </w:p>
        </w:tc>
        <w:tc>
          <w:tcPr>
            <w:tcW w:w="781" w:type="pct"/>
            <w:vMerge w:val="continue"/>
            <w:tcBorders>
              <w:top w:val="nil"/>
              <w:left w:val="nil"/>
              <w:bottom w:val="single" w:color="auto" w:sz="8" w:space="0"/>
              <w:right w:val="nil"/>
            </w:tcBorders>
            <w:shd w:val="clear"/>
            <w:tcMar>
              <w:left w:w="108" w:type="dxa"/>
              <w:right w:w="108" w:type="dxa"/>
            </w:tcMar>
            <w:vAlign w:val="center"/>
          </w:tcPr>
          <w:p w14:paraId="5A12F4C6">
            <w:pPr>
              <w:bidi w:val="0"/>
              <w:rPr>
                <w:rFonts w:hint="default"/>
              </w:rPr>
            </w:pPr>
          </w:p>
        </w:tc>
        <w:tc>
          <w:tcPr>
            <w:tcW w:w="1823" w:type="pct"/>
            <w:tcBorders>
              <w:top w:val="nil"/>
              <w:left w:val="nil"/>
              <w:bottom w:val="single" w:color="auto" w:sz="8" w:space="0"/>
              <w:right w:val="nil"/>
            </w:tcBorders>
            <w:shd w:val="clear"/>
            <w:tcMar>
              <w:left w:w="108" w:type="dxa"/>
              <w:right w:w="108" w:type="dxa"/>
            </w:tcMar>
            <w:vAlign w:val="center"/>
          </w:tcPr>
          <w:p w14:paraId="19534E3C">
            <w:pPr>
              <w:bidi w:val="0"/>
              <w:rPr>
                <w:rFonts w:hint="default"/>
                <w:lang w:val="en-US"/>
              </w:rPr>
            </w:pPr>
            <w:r>
              <w:rPr>
                <w:rFonts w:hint="default"/>
                <w:lang w:val="en-US"/>
              </w:rPr>
              <w:t>Landscape Splitting Index (SPLIT)</w:t>
            </w:r>
          </w:p>
        </w:tc>
        <w:tc>
          <w:tcPr>
            <w:tcW w:w="787" w:type="pct"/>
            <w:tcBorders>
              <w:top w:val="nil"/>
              <w:left w:val="nil"/>
              <w:bottom w:val="single" w:color="auto" w:sz="8" w:space="0"/>
              <w:right w:val="nil"/>
            </w:tcBorders>
            <w:shd w:val="clear"/>
            <w:tcMar>
              <w:left w:w="108" w:type="dxa"/>
              <w:right w:w="108" w:type="dxa"/>
            </w:tcMar>
            <w:vAlign w:val="center"/>
          </w:tcPr>
          <w:p w14:paraId="5BD0BF4B">
            <w:pPr>
              <w:bidi w:val="0"/>
              <w:rPr>
                <w:rFonts w:hint="default"/>
                <w:lang w:val="en-US"/>
              </w:rPr>
            </w:pPr>
            <w:r>
              <w:rPr>
                <w:rFonts w:hint="default"/>
                <w:lang w:val="en-US"/>
              </w:rPr>
              <w:t>-0.10</w:t>
            </w:r>
          </w:p>
        </w:tc>
        <w:tc>
          <w:tcPr>
            <w:tcW w:w="1109" w:type="pct"/>
            <w:vMerge w:val="continue"/>
            <w:tcBorders>
              <w:top w:val="nil"/>
              <w:left w:val="nil"/>
              <w:bottom w:val="single" w:color="auto" w:sz="8" w:space="0"/>
              <w:right w:val="nil"/>
            </w:tcBorders>
            <w:shd w:val="clear"/>
            <w:vAlign w:val="center"/>
          </w:tcPr>
          <w:p w14:paraId="2AD84EFD">
            <w:pPr>
              <w:bidi w:val="0"/>
              <w:rPr>
                <w:rFonts w:hint="default"/>
              </w:rPr>
            </w:pPr>
          </w:p>
        </w:tc>
      </w:tr>
    </w:tbl>
    <w:p w14:paraId="2AE98DC1">
      <w:pPr>
        <w:bidi w:val="0"/>
        <w:rPr>
          <w:rFonts w:hint="eastAsia"/>
          <w:b/>
          <w:bCs/>
          <w:lang w:val="en-US" w:eastAsia="zh-CN"/>
        </w:rPr>
      </w:pPr>
      <w:r>
        <w:rPr>
          <w:rFonts w:hint="eastAsia"/>
          <w:b/>
          <w:bCs/>
          <w:lang w:val="en-US" w:eastAsia="zh-CN"/>
        </w:rPr>
        <w:t>4、Classification criteria of iMBI：</w:t>
      </w:r>
    </w:p>
    <w:p w14:paraId="6FEBB23A">
      <w:pPr>
        <w:bidi w:val="0"/>
        <w:jc w:val="center"/>
        <w:rPr>
          <w:rFonts w:hint="default"/>
          <w:lang w:eastAsia="zh-CN"/>
        </w:rPr>
      </w:pPr>
      <w:r>
        <w:rPr>
          <w:rFonts w:hint="eastAsia"/>
          <w:lang w:val="en-US" w:eastAsia="zh-CN"/>
        </w:rPr>
        <w:t>Table 2</w:t>
      </w:r>
      <w:r>
        <w:rPr>
          <w:rFonts w:hint="default"/>
        </w:rPr>
        <w:t xml:space="preserve"> </w:t>
      </w:r>
      <w:r>
        <w:rPr>
          <w:rFonts w:hint="eastAsia"/>
          <w:b/>
          <w:bCs/>
          <w:lang w:val="en-US" w:eastAsia="zh-CN"/>
        </w:rPr>
        <w:t>Classification criteria of iMBI</w:t>
      </w:r>
      <w:r>
        <w:rPr>
          <w:rFonts w:hint="default"/>
          <w:lang w:eastAsia="zh-CN"/>
        </w:rPr>
        <w:t>。</w:t>
      </w:r>
    </w:p>
    <w:tbl>
      <w:tblPr>
        <w:tblStyle w:val="13"/>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0"/>
        <w:gridCol w:w="1278"/>
        <w:gridCol w:w="5434"/>
      </w:tblGrid>
      <w:tr w14:paraId="107ADF75">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062" w:type="pct"/>
            <w:tcBorders>
              <w:bottom w:val="single" w:color="auto" w:sz="4" w:space="0"/>
              <w:insideH w:val="single" w:sz="4" w:space="0"/>
            </w:tcBorders>
            <w:vAlign w:val="center"/>
          </w:tcPr>
          <w:p w14:paraId="64C3197F">
            <w:pPr>
              <w:bidi w:val="0"/>
              <w:rPr>
                <w:rFonts w:hint="eastAsia" w:eastAsiaTheme="minorEastAsia"/>
                <w:lang w:eastAsia="zh-CN"/>
              </w:rPr>
            </w:pPr>
            <w:r>
              <w:rPr>
                <w:rFonts w:hint="eastAsia"/>
                <w:lang w:val="en-US" w:eastAsia="zh-CN"/>
              </w:rPr>
              <w:t>Levels</w:t>
            </w:r>
          </w:p>
        </w:tc>
        <w:tc>
          <w:tcPr>
            <w:tcW w:w="750" w:type="pct"/>
            <w:tcBorders>
              <w:bottom w:val="single" w:color="auto" w:sz="4" w:space="0"/>
              <w:insideH w:val="single" w:sz="4" w:space="0"/>
            </w:tcBorders>
            <w:vAlign w:val="center"/>
          </w:tcPr>
          <w:p w14:paraId="45CFAAB3">
            <w:pPr>
              <w:bidi w:val="0"/>
              <w:rPr>
                <w:rFonts w:hint="default" w:eastAsiaTheme="minorEastAsia"/>
                <w:lang w:val="en-US" w:eastAsia="zh-CN"/>
              </w:rPr>
            </w:pPr>
            <w:r>
              <w:rPr>
                <w:rFonts w:hint="eastAsia"/>
                <w:lang w:val="en-US" w:eastAsia="zh-CN"/>
              </w:rPr>
              <w:t>iMBI</w:t>
            </w:r>
          </w:p>
        </w:tc>
        <w:tc>
          <w:tcPr>
            <w:tcW w:w="3189" w:type="pct"/>
            <w:tcBorders>
              <w:bottom w:val="single" w:color="auto" w:sz="4" w:space="0"/>
              <w:insideH w:val="single" w:sz="4" w:space="0"/>
            </w:tcBorders>
            <w:vAlign w:val="center"/>
          </w:tcPr>
          <w:p w14:paraId="5CEB7B98">
            <w:pPr>
              <w:bidi w:val="0"/>
              <w:rPr>
                <w:rFonts w:hint="default"/>
              </w:rPr>
            </w:pPr>
            <w:r>
              <w:rPr>
                <w:rFonts w:hint="default"/>
              </w:rPr>
              <w:t>Biodiversity status</w:t>
            </w:r>
          </w:p>
        </w:tc>
      </w:tr>
      <w:tr w14:paraId="7478E84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062" w:type="pct"/>
            <w:vAlign w:val="center"/>
          </w:tcPr>
          <w:p w14:paraId="3ADC6ACE">
            <w:pPr>
              <w:bidi w:val="0"/>
              <w:rPr>
                <w:rFonts w:hint="default" w:eastAsiaTheme="minorEastAsia"/>
                <w:lang w:val="en-US" w:eastAsia="zh-CN"/>
              </w:rPr>
            </w:pPr>
            <w:r>
              <w:rPr>
                <w:rFonts w:hint="eastAsia"/>
                <w:lang w:val="en-US" w:eastAsia="zh-CN"/>
              </w:rPr>
              <w:t>High</w:t>
            </w:r>
          </w:p>
        </w:tc>
        <w:tc>
          <w:tcPr>
            <w:tcW w:w="750" w:type="pct"/>
            <w:vAlign w:val="center"/>
          </w:tcPr>
          <w:p w14:paraId="32F43B44">
            <w:pPr>
              <w:bidi w:val="0"/>
              <w:rPr>
                <w:rFonts w:hint="eastAsia"/>
                <w:lang w:eastAsia="zh-CN"/>
              </w:rPr>
            </w:pPr>
            <w:r>
              <w:rPr>
                <w:rFonts w:hint="default"/>
              </w:rPr>
              <w:t>BI≥0.</w:t>
            </w:r>
            <w:r>
              <w:rPr>
                <w:rFonts w:hint="eastAsia"/>
                <w:lang w:val="en-US" w:eastAsia="zh-CN"/>
              </w:rPr>
              <w:t>6</w:t>
            </w:r>
          </w:p>
        </w:tc>
        <w:tc>
          <w:tcPr>
            <w:tcW w:w="3189" w:type="pct"/>
            <w:vAlign w:val="center"/>
          </w:tcPr>
          <w:p w14:paraId="2F1FA33F">
            <w:pPr>
              <w:bidi w:val="0"/>
              <w:rPr>
                <w:rFonts w:hint="default"/>
              </w:rPr>
            </w:pPr>
            <w:r>
              <w:rPr>
                <w:rFonts w:hint="default"/>
              </w:rPr>
              <w:t>Characterized by a high abundance of plant and animal species, high and relatively stable habitat quality, diverse ecosystem types, high vegetation productivity providing ample energy for species survival, and minimal human disturbance, making it highly suitable for species survival and reproduction.</w:t>
            </w:r>
          </w:p>
        </w:tc>
      </w:tr>
      <w:tr w14:paraId="48871F0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062" w:type="pct"/>
            <w:vAlign w:val="center"/>
          </w:tcPr>
          <w:p w14:paraId="502B59F4">
            <w:pPr>
              <w:bidi w:val="0"/>
              <w:rPr>
                <w:rFonts w:hint="default" w:eastAsiaTheme="minorEastAsia"/>
                <w:lang w:val="en-US" w:eastAsia="zh-CN"/>
              </w:rPr>
            </w:pPr>
            <w:r>
              <w:rPr>
                <w:rFonts w:hint="eastAsia"/>
                <w:lang w:val="en-US" w:eastAsia="zh-CN"/>
              </w:rPr>
              <w:t>Medium</w:t>
            </w:r>
          </w:p>
        </w:tc>
        <w:tc>
          <w:tcPr>
            <w:tcW w:w="750" w:type="pct"/>
            <w:vAlign w:val="center"/>
          </w:tcPr>
          <w:p w14:paraId="68700EA9">
            <w:pPr>
              <w:bidi w:val="0"/>
              <w:rPr>
                <w:rFonts w:hint="eastAsia"/>
                <w:lang w:eastAsia="zh-CN"/>
              </w:rPr>
            </w:pPr>
            <w:r>
              <w:rPr>
                <w:rFonts w:hint="default"/>
              </w:rPr>
              <w:t>0.</w:t>
            </w:r>
            <w:r>
              <w:rPr>
                <w:rFonts w:hint="eastAsia"/>
                <w:lang w:val="en-US" w:eastAsia="zh-CN"/>
              </w:rPr>
              <w:t>4</w:t>
            </w:r>
            <w:r>
              <w:rPr>
                <w:rFonts w:hint="default"/>
              </w:rPr>
              <w:t>≤BI&lt;0.</w:t>
            </w:r>
            <w:r>
              <w:rPr>
                <w:rFonts w:hint="eastAsia"/>
                <w:lang w:val="en-US" w:eastAsia="zh-CN"/>
              </w:rPr>
              <w:t>6</w:t>
            </w:r>
          </w:p>
        </w:tc>
        <w:tc>
          <w:tcPr>
            <w:tcW w:w="3189" w:type="pct"/>
            <w:vAlign w:val="center"/>
          </w:tcPr>
          <w:p w14:paraId="6FDBF15E">
            <w:pPr>
              <w:bidi w:val="0"/>
              <w:rPr>
                <w:rFonts w:hint="default"/>
              </w:rPr>
            </w:pPr>
            <w:r>
              <w:rPr>
                <w:rFonts w:hint="default"/>
              </w:rPr>
              <w:t>Features a relatively rich diversity of plant and animal species, good and stable habitat quality, diverse vegetation types with good coverage, and locally high species richness in certain areas.</w:t>
            </w:r>
          </w:p>
        </w:tc>
      </w:tr>
      <w:tr w14:paraId="51F21FA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062" w:type="pct"/>
            <w:vAlign w:val="center"/>
          </w:tcPr>
          <w:p w14:paraId="080A352E">
            <w:pPr>
              <w:bidi w:val="0"/>
              <w:rPr>
                <w:rFonts w:hint="default" w:eastAsiaTheme="minorEastAsia"/>
                <w:lang w:val="en-US" w:eastAsia="zh-CN"/>
              </w:rPr>
            </w:pPr>
            <w:r>
              <w:rPr>
                <w:rFonts w:hint="eastAsia"/>
                <w:lang w:val="en-US" w:eastAsia="zh-CN"/>
              </w:rPr>
              <w:t>Average</w:t>
            </w:r>
          </w:p>
        </w:tc>
        <w:tc>
          <w:tcPr>
            <w:tcW w:w="750" w:type="pct"/>
            <w:vAlign w:val="center"/>
          </w:tcPr>
          <w:p w14:paraId="39F6DBBC">
            <w:pPr>
              <w:bidi w:val="0"/>
              <w:rPr>
                <w:rFonts w:hint="default"/>
                <w:lang w:val="en-US" w:eastAsia="zh-CN"/>
              </w:rPr>
            </w:pPr>
            <w:r>
              <w:rPr>
                <w:rFonts w:hint="default"/>
              </w:rPr>
              <w:t>0.</w:t>
            </w:r>
            <w:r>
              <w:rPr>
                <w:rFonts w:hint="eastAsia"/>
                <w:lang w:val="en-US" w:eastAsia="zh-CN"/>
              </w:rPr>
              <w:t>25</w:t>
            </w:r>
            <w:r>
              <w:rPr>
                <w:rFonts w:hint="default"/>
              </w:rPr>
              <w:t>≤BI&lt;0.</w:t>
            </w:r>
            <w:r>
              <w:rPr>
                <w:rFonts w:hint="eastAsia"/>
                <w:lang w:val="en-US" w:eastAsia="zh-CN"/>
              </w:rPr>
              <w:t>4</w:t>
            </w:r>
          </w:p>
        </w:tc>
        <w:tc>
          <w:tcPr>
            <w:tcW w:w="3189" w:type="pct"/>
            <w:vAlign w:val="center"/>
          </w:tcPr>
          <w:p w14:paraId="64890B6A">
            <w:pPr>
              <w:bidi w:val="0"/>
              <w:rPr>
                <w:rFonts w:hint="default"/>
              </w:rPr>
            </w:pPr>
            <w:r>
              <w:rPr>
                <w:rFonts w:hint="default"/>
              </w:rPr>
              <w:t>Exhibits fewer plant and animal species, fragmented and discontinuous landscape types, moderate habitat quality, and significant human disturbance.</w:t>
            </w:r>
          </w:p>
        </w:tc>
      </w:tr>
      <w:tr w14:paraId="3A04309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062" w:type="pct"/>
            <w:vAlign w:val="center"/>
          </w:tcPr>
          <w:p w14:paraId="2DE99314">
            <w:pPr>
              <w:bidi w:val="0"/>
              <w:rPr>
                <w:rFonts w:hint="default" w:eastAsiaTheme="minorEastAsia"/>
                <w:lang w:val="en-US" w:eastAsia="zh-CN"/>
              </w:rPr>
            </w:pPr>
            <w:r>
              <w:rPr>
                <w:rFonts w:hint="eastAsia"/>
                <w:lang w:val="en-US" w:eastAsia="zh-CN"/>
              </w:rPr>
              <w:t>Low</w:t>
            </w:r>
          </w:p>
        </w:tc>
        <w:tc>
          <w:tcPr>
            <w:tcW w:w="750" w:type="pct"/>
            <w:vAlign w:val="center"/>
          </w:tcPr>
          <w:p w14:paraId="15C62588">
            <w:pPr>
              <w:bidi w:val="0"/>
              <w:rPr>
                <w:rFonts w:hint="default"/>
                <w:lang w:val="en-US" w:eastAsia="zh-CN"/>
              </w:rPr>
            </w:pPr>
            <w:r>
              <w:rPr>
                <w:rFonts w:hint="default"/>
              </w:rPr>
              <w:t>BI&lt;0.</w:t>
            </w:r>
            <w:r>
              <w:rPr>
                <w:rFonts w:hint="eastAsia"/>
                <w:lang w:val="en-US" w:eastAsia="zh-CN"/>
              </w:rPr>
              <w:t>25</w:t>
            </w:r>
          </w:p>
        </w:tc>
        <w:tc>
          <w:tcPr>
            <w:tcW w:w="3189" w:type="pct"/>
            <w:vAlign w:val="center"/>
          </w:tcPr>
          <w:p w14:paraId="093C0566">
            <w:pPr>
              <w:bidi w:val="0"/>
              <w:rPr>
                <w:rFonts w:hint="default"/>
              </w:rPr>
            </w:pPr>
            <w:r>
              <w:rPr>
                <w:rFonts w:hint="default"/>
              </w:rPr>
              <w:t>Marked by scarce plant and animal species, low vegetation coverage, homogeneous ecosystem types, poor habitat quality, limited energy availability for survival, ecological fragility, and low stability, resulting in extremely low biodiversity.</w:t>
            </w:r>
          </w:p>
        </w:tc>
      </w:tr>
    </w:tbl>
    <w:p w14:paraId="27F5F336">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宋体">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15EF5"/>
    <w:rsid w:val="02DE0E3A"/>
    <w:rsid w:val="10E87F18"/>
    <w:rsid w:val="17793CEF"/>
    <w:rsid w:val="17DA6E38"/>
    <w:rsid w:val="17F673BF"/>
    <w:rsid w:val="1F917194"/>
    <w:rsid w:val="229D5AD9"/>
    <w:rsid w:val="27134F4E"/>
    <w:rsid w:val="2BA86BCB"/>
    <w:rsid w:val="31CB420F"/>
    <w:rsid w:val="3FA6711C"/>
    <w:rsid w:val="3FCC0881"/>
    <w:rsid w:val="409D4045"/>
    <w:rsid w:val="45317451"/>
    <w:rsid w:val="4FB44680"/>
    <w:rsid w:val="5E843D62"/>
    <w:rsid w:val="5FD15EF5"/>
    <w:rsid w:val="607F0C51"/>
    <w:rsid w:val="6B5C47DB"/>
    <w:rsid w:val="7274556F"/>
    <w:rsid w:val="75804F70"/>
    <w:rsid w:val="7B130001"/>
    <w:rsid w:val="7D634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qFormat/>
    <w:uiPriority w:val="99"/>
    <w:rPr>
      <w:color w:val="0A6CFF"/>
      <w:u w:val="single" w:color="0A6CFF"/>
    </w:rPr>
  </w:style>
  <w:style w:type="paragraph" w:customStyle="1" w:styleId="7">
    <w:name w:val="table_figure_title"/>
    <w:basedOn w:val="1"/>
    <w:uiPriority w:val="0"/>
    <w:pPr>
      <w:keepNext w:val="0"/>
      <w:keepLines w:val="0"/>
      <w:widowControl w:val="0"/>
      <w:suppressLineNumbers w:val="0"/>
      <w:spacing w:before="0" w:beforeAutospacing="0" w:after="0" w:afterAutospacing="0" w:line="360" w:lineRule="auto"/>
      <w:ind w:left="0" w:right="0"/>
      <w:jc w:val="both"/>
    </w:pPr>
    <w:rPr>
      <w:rFonts w:hint="default" w:ascii="Calibri" w:hAnsi="Calibri" w:eastAsia="宋体" w:cs="Times New Roman"/>
      <w:bCs/>
      <w:kern w:val="2"/>
      <w:sz w:val="21"/>
      <w:szCs w:val="21"/>
      <w:lang w:val="en-US" w:eastAsia="zh-CN" w:bidi="ar"/>
    </w:rPr>
  </w:style>
  <w:style w:type="paragraph" w:customStyle="1" w:styleId="8">
    <w:name w:val="table_word"/>
    <w:basedOn w:val="1"/>
    <w:uiPriority w:val="0"/>
    <w:pPr>
      <w:keepNext w:val="0"/>
      <w:keepLines w:val="0"/>
      <w:widowControl/>
      <w:suppressLineNumbers w:val="0"/>
      <w:spacing w:before="0" w:beforeAutospacing="0" w:after="0" w:afterAutospacing="0"/>
      <w:ind w:left="0" w:right="0"/>
      <w:jc w:val="center"/>
    </w:pPr>
    <w:rPr>
      <w:rFonts w:hint="default" w:ascii="Calibri" w:hAnsi="Calibri" w:eastAsia="等线" w:cs="Times New Roman"/>
      <w:color w:val="000000"/>
      <w:kern w:val="2"/>
      <w:sz w:val="21"/>
      <w:szCs w:val="24"/>
      <w:lang w:val="en-US" w:eastAsia="zh-CN" w:bidi="ar"/>
    </w:rPr>
  </w:style>
  <w:style w:type="paragraph" w:customStyle="1" w:styleId="9">
    <w:name w:val="图名"/>
    <w:basedOn w:val="10"/>
    <w:next w:val="1"/>
    <w:autoRedefine/>
    <w:qFormat/>
    <w:uiPriority w:val="0"/>
    <w:pPr>
      <w:keepNext w:val="0"/>
      <w:keepLines w:val="0"/>
      <w:widowControl/>
      <w:spacing w:before="120" w:line="240" w:lineRule="auto"/>
      <w:outlineLvl w:val="4"/>
    </w:pPr>
    <w:rPr>
      <w:rFonts w:ascii="Times New Roman" w:hAnsi="Times New Roman"/>
    </w:rPr>
  </w:style>
  <w:style w:type="paragraph" w:customStyle="1" w:styleId="10">
    <w:name w:val="图"/>
    <w:autoRedefine/>
    <w:qFormat/>
    <w:uiPriority w:val="0"/>
    <w:pPr>
      <w:keepNext/>
      <w:keepLines/>
      <w:widowControl w:val="0"/>
      <w:spacing w:before="120" w:after="120"/>
      <w:jc w:val="center"/>
    </w:pPr>
    <w:rPr>
      <w:rFonts w:ascii="Cambria Math" w:hAnsi="Cambria Math" w:eastAsia="宋体" w:cstheme="minorBidi"/>
      <w:iCs/>
      <w:sz w:val="21"/>
      <w:lang w:val="en-US" w:eastAsia="zh-CN" w:bidi="ar-SA"/>
    </w:rPr>
  </w:style>
  <w:style w:type="paragraph" w:customStyle="1" w:styleId="11">
    <w:name w:val="表名"/>
    <w:basedOn w:val="9"/>
    <w:next w:val="1"/>
    <w:autoRedefine/>
    <w:qFormat/>
    <w:uiPriority w:val="0"/>
    <w:pPr>
      <w:keepNext/>
      <w:ind w:firstLine="0"/>
      <w:outlineLvl w:val="4"/>
    </w:pPr>
  </w:style>
  <w:style w:type="paragraph" w:customStyle="1" w:styleId="12">
    <w:name w:val="表"/>
    <w:autoRedefine/>
    <w:qFormat/>
    <w:uiPriority w:val="0"/>
    <w:pPr>
      <w:spacing w:before="120" w:after="120"/>
      <w:jc w:val="center"/>
    </w:pPr>
    <w:rPr>
      <w:rFonts w:ascii="Times New Roman" w:hAnsi="Times New Roman" w:eastAsia="宋体" w:cs="Times New Roman"/>
      <w:sz w:val="21"/>
      <w:lang w:val="en-US" w:eastAsia="zh-CN" w:bidi="ar-SA"/>
    </w:rPr>
  </w:style>
  <w:style w:type="table" w:customStyle="1" w:styleId="13">
    <w:name w:val="表格样式"/>
    <w:basedOn w:val="3"/>
    <w:autoRedefine/>
    <w:qFormat/>
    <w:uiPriority w:val="99"/>
    <w:tblPr>
      <w:jc w:val="center"/>
      <w:tblBorders>
        <w:top w:val="single" w:color="auto" w:sz="8" w:space="0"/>
        <w:bottom w:val="single" w:color="auto" w:sz="8" w:space="0"/>
      </w:tblBorders>
    </w:tblPr>
    <w:trPr>
      <w:jc w:val="center"/>
    </w:trPr>
    <w:tcPr>
      <w:vAlign w:val="center"/>
    </w:tcPr>
    <w:tblStylePr w:type="firstRow">
      <w:tcPr>
        <w:tcBorders>
          <w:bottom w:val="single" w:color="auto" w:sz="4"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77</Words>
  <Characters>77</Characters>
  <Lines>0</Lines>
  <Paragraphs>0</Paragraphs>
  <TotalTime>3</TotalTime>
  <ScaleCrop>false</ScaleCrop>
  <LinksUpToDate>false</LinksUpToDate>
  <CharactersWithSpaces>78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2025-02-24T05:45:00Z</dcterms:created>
  <dc:creator>芰荷浦溆</dc:creator>
  <cp:lastModifiedBy>芰荷浦溆</cp:lastModifiedBy>
  <dcterms:modified xsi:type="dcterms:W3CDTF">2025-02-27T01:10:58Z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6FFAED54CAA9453C8AB84957C78BB004_11</vt:lpwstr>
  </property>
  <property fmtid="{D5CDD505-2E9C-101B-9397-08002B2CF9AE}" pid="4" name="KSOTemplateDocerSaveRecord">
    <vt:lpwstr>eyJoZGlkIjoiMzM5NWE1YWJjZWNjOTdlNzc0NWE3NjVmNDkyZTQ2NDYiLCJ1c2VySWQiOiIzMDU2NDM5NDUifQ==</vt:lpwstr>
  </property>
</Properties>
</file>