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6"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56"/>
        <w:gridCol w:w="1507"/>
        <w:gridCol w:w="1404"/>
        <w:gridCol w:w="2950"/>
        <w:gridCol w:w="3379"/>
      </w:tblGrid>
      <w:tr w:rsidR="00F55900" w:rsidRPr="00F55900" w14:paraId="212A5948" w14:textId="77777777" w:rsidTr="00941391">
        <w:trPr>
          <w:cantSplit/>
          <w:trHeight w:val="688"/>
        </w:trPr>
        <w:tc>
          <w:tcPr>
            <w:tcW w:w="1456" w:type="dxa"/>
          </w:tcPr>
          <w:p w14:paraId="2F2F06A2" w14:textId="77777777"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學生姓名</w:t>
            </w:r>
          </w:p>
        </w:tc>
        <w:tc>
          <w:tcPr>
            <w:tcW w:w="1507" w:type="dxa"/>
            <w:shd w:val="clear" w:color="auto" w:fill="DEEAF6" w:themeFill="accent1" w:themeFillTint="33"/>
          </w:tcPr>
          <w:p w14:paraId="3A1E3657" w14:textId="3B8A368A"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王邑安</w:t>
            </w:r>
          </w:p>
        </w:tc>
        <w:tc>
          <w:tcPr>
            <w:tcW w:w="1404" w:type="dxa"/>
          </w:tcPr>
          <w:p w14:paraId="34177801" w14:textId="77777777" w:rsidR="00F55900" w:rsidRPr="00F55900" w:rsidRDefault="00F55900" w:rsidP="00C37209">
            <w:pPr>
              <w:adjustRightInd w:val="0"/>
              <w:snapToGrid w:val="0"/>
              <w:spacing w:before="120" w:after="120" w:line="180" w:lineRule="atLeast"/>
              <w:jc w:val="center"/>
              <w:rPr>
                <w:rFonts w:ascii="標楷體" w:eastAsia="標楷體"/>
                <w:b/>
                <w:sz w:val="28"/>
                <w:szCs w:val="28"/>
              </w:rPr>
            </w:pPr>
            <w:r w:rsidRPr="00F55900">
              <w:rPr>
                <w:rFonts w:ascii="標楷體" w:eastAsia="標楷體" w:hint="eastAsia"/>
                <w:b/>
                <w:sz w:val="28"/>
                <w:szCs w:val="28"/>
              </w:rPr>
              <w:t>組別</w:t>
            </w:r>
            <w:r>
              <w:rPr>
                <w:rFonts w:ascii="標楷體" w:eastAsia="標楷體"/>
                <w:b/>
                <w:sz w:val="28"/>
                <w:szCs w:val="28"/>
              </w:rPr>
              <w:br/>
            </w:r>
            <w:r w:rsidRPr="00F55900">
              <w:rPr>
                <w:rFonts w:ascii="標楷體" w:eastAsia="標楷體"/>
                <w:b/>
                <w:sz w:val="28"/>
                <w:szCs w:val="28"/>
              </w:rPr>
              <w:t>(</w:t>
            </w:r>
            <w:r w:rsidRPr="00F55900">
              <w:rPr>
                <w:rFonts w:ascii="標楷體" w:eastAsia="標楷體" w:hint="eastAsia"/>
                <w:b/>
                <w:color w:val="FF0000"/>
                <w:sz w:val="28"/>
                <w:szCs w:val="28"/>
              </w:rPr>
              <w:t>必填</w:t>
            </w:r>
            <w:r w:rsidRPr="00F55900">
              <w:rPr>
                <w:rFonts w:ascii="標楷體" w:eastAsia="標楷體" w:hint="eastAsia"/>
                <w:b/>
                <w:sz w:val="28"/>
                <w:szCs w:val="28"/>
              </w:rPr>
              <w:t>)</w:t>
            </w:r>
          </w:p>
        </w:tc>
        <w:tc>
          <w:tcPr>
            <w:tcW w:w="2950" w:type="dxa"/>
            <w:shd w:val="clear" w:color="auto" w:fill="DEEAF6" w:themeFill="accent1" w:themeFillTint="33"/>
          </w:tcPr>
          <w:p w14:paraId="03639463" w14:textId="0C70D118" w:rsidR="00F55900" w:rsidRPr="00F55900" w:rsidRDefault="00256433" w:rsidP="00C37209">
            <w:pPr>
              <w:snapToGrid w:val="0"/>
              <w:spacing w:before="240" w:after="120"/>
              <w:jc w:val="center"/>
              <w:rPr>
                <w:rFonts w:ascii="標楷體" w:eastAsia="標楷體"/>
                <w:b/>
                <w:sz w:val="28"/>
                <w:szCs w:val="28"/>
              </w:rPr>
            </w:pPr>
            <w:r>
              <w:rPr>
                <w:rFonts w:ascii="標楷體" w:eastAsia="標楷體" w:hint="eastAsia"/>
                <w:b/>
                <w:sz w:val="28"/>
                <w:szCs w:val="28"/>
              </w:rPr>
              <w:t>設計組</w:t>
            </w:r>
          </w:p>
        </w:tc>
        <w:tc>
          <w:tcPr>
            <w:tcW w:w="3377" w:type="dxa"/>
          </w:tcPr>
          <w:p w14:paraId="1E403B29" w14:textId="0D6E8599" w:rsidR="00F55900" w:rsidRPr="00F55900" w:rsidRDefault="00F55900" w:rsidP="00C37209">
            <w:pPr>
              <w:snapToGrid w:val="0"/>
              <w:spacing w:before="240" w:after="120"/>
              <w:jc w:val="center"/>
              <w:rPr>
                <w:rFonts w:ascii="標楷體" w:eastAsia="標楷體"/>
                <w:b/>
                <w:sz w:val="28"/>
                <w:szCs w:val="28"/>
              </w:rPr>
            </w:pPr>
            <w:r w:rsidRPr="00F55900">
              <w:rPr>
                <w:rFonts w:ascii="標楷體" w:eastAsia="標楷體" w:hint="eastAsia"/>
                <w:b/>
                <w:sz w:val="28"/>
                <w:szCs w:val="28"/>
              </w:rPr>
              <w:t>聽講日期：</w:t>
            </w:r>
            <w:r w:rsidR="00256433">
              <w:rPr>
                <w:rFonts w:ascii="標楷體" w:eastAsia="標楷體" w:hint="eastAsia"/>
                <w:b/>
                <w:sz w:val="28"/>
                <w:szCs w:val="28"/>
              </w:rPr>
              <w:t>2月</w:t>
            </w:r>
            <w:r w:rsidR="000D0B43">
              <w:rPr>
                <w:rFonts w:ascii="標楷體" w:eastAsia="標楷體" w:hint="eastAsia"/>
                <w:b/>
                <w:sz w:val="28"/>
                <w:szCs w:val="28"/>
              </w:rPr>
              <w:t>26</w:t>
            </w:r>
            <w:r w:rsidRPr="00F55900">
              <w:rPr>
                <w:rFonts w:ascii="標楷體" w:eastAsia="標楷體" w:hint="eastAsia"/>
                <w:b/>
                <w:sz w:val="28"/>
                <w:szCs w:val="28"/>
              </w:rPr>
              <w:t>日</w:t>
            </w:r>
          </w:p>
        </w:tc>
      </w:tr>
      <w:tr w:rsidR="00F55900" w:rsidRPr="00F55900" w14:paraId="56F44298" w14:textId="77777777" w:rsidTr="00941391">
        <w:trPr>
          <w:cantSplit/>
          <w:trHeight w:val="856"/>
        </w:trPr>
        <w:tc>
          <w:tcPr>
            <w:tcW w:w="1456" w:type="dxa"/>
          </w:tcPr>
          <w:p w14:paraId="70AFDA46"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講者姓名</w:t>
            </w:r>
          </w:p>
        </w:tc>
        <w:tc>
          <w:tcPr>
            <w:tcW w:w="1507" w:type="dxa"/>
          </w:tcPr>
          <w:p w14:paraId="25559556" w14:textId="19C6454A" w:rsidR="00F55900" w:rsidRPr="00F55900" w:rsidRDefault="000D0B43" w:rsidP="00C37209">
            <w:pPr>
              <w:snapToGrid w:val="0"/>
              <w:spacing w:before="120" w:after="120"/>
              <w:jc w:val="center"/>
              <w:rPr>
                <w:rFonts w:ascii="標楷體" w:eastAsia="標楷體"/>
                <w:b/>
                <w:sz w:val="28"/>
                <w:szCs w:val="28"/>
              </w:rPr>
            </w:pPr>
            <w:r w:rsidRPr="000D0B43">
              <w:rPr>
                <w:rFonts w:ascii="標楷體" w:eastAsia="標楷體" w:hint="eastAsia"/>
                <w:b/>
                <w:sz w:val="28"/>
                <w:szCs w:val="28"/>
              </w:rPr>
              <w:t>洪貞淑</w:t>
            </w:r>
          </w:p>
        </w:tc>
        <w:tc>
          <w:tcPr>
            <w:tcW w:w="1404" w:type="dxa"/>
          </w:tcPr>
          <w:p w14:paraId="5F4EB8EA" w14:textId="77777777" w:rsidR="00F55900" w:rsidRPr="00F55900" w:rsidRDefault="00F55900" w:rsidP="00C37209">
            <w:pPr>
              <w:snapToGrid w:val="0"/>
              <w:spacing w:before="120" w:after="120"/>
              <w:jc w:val="center"/>
              <w:rPr>
                <w:rFonts w:ascii="標楷體" w:eastAsia="標楷體"/>
                <w:b/>
                <w:sz w:val="28"/>
                <w:szCs w:val="28"/>
              </w:rPr>
            </w:pPr>
            <w:r w:rsidRPr="00F55900">
              <w:rPr>
                <w:rFonts w:ascii="標楷體" w:eastAsia="標楷體" w:hint="eastAsia"/>
                <w:b/>
                <w:sz w:val="28"/>
                <w:szCs w:val="28"/>
              </w:rPr>
              <w:t>講題</w:t>
            </w:r>
          </w:p>
        </w:tc>
        <w:tc>
          <w:tcPr>
            <w:tcW w:w="6327" w:type="dxa"/>
            <w:gridSpan w:val="2"/>
          </w:tcPr>
          <w:p w14:paraId="6A18DD72" w14:textId="69538E0E" w:rsidR="00F55900" w:rsidRPr="00F55900" w:rsidRDefault="00941391" w:rsidP="00941391">
            <w:pPr>
              <w:snapToGrid w:val="0"/>
              <w:spacing w:before="120" w:after="120"/>
              <w:rPr>
                <w:rFonts w:ascii="標楷體" w:eastAsia="標楷體"/>
                <w:b/>
              </w:rPr>
            </w:pPr>
            <w:r w:rsidRPr="00941391">
              <w:rPr>
                <w:rFonts w:ascii="標楷體" w:eastAsia="標楷體"/>
                <w:b/>
              </w:rPr>
              <w:t>Chlorella Microalgae as a Biomass Filler to Fabricate Eco-friendly Composite</w:t>
            </w:r>
          </w:p>
        </w:tc>
      </w:tr>
      <w:tr w:rsidR="00534E31" w:rsidRPr="00F55900" w14:paraId="79A23C1C" w14:textId="77777777" w:rsidTr="00941391">
        <w:trPr>
          <w:cantSplit/>
          <w:trHeight w:val="13666"/>
        </w:trPr>
        <w:tc>
          <w:tcPr>
            <w:tcW w:w="10696" w:type="dxa"/>
            <w:gridSpan w:val="5"/>
          </w:tcPr>
          <w:p w14:paraId="6264954B" w14:textId="354470EC" w:rsidR="005A4F46" w:rsidRDefault="00256433" w:rsidP="00256433">
            <w:pPr>
              <w:snapToGrid w:val="0"/>
              <w:spacing w:beforeLines="50" w:before="180"/>
              <w:rPr>
                <w:rFonts w:eastAsia="標楷體"/>
                <w:sz w:val="28"/>
                <w:szCs w:val="28"/>
              </w:rPr>
            </w:pPr>
            <w:r w:rsidRPr="00256433">
              <w:rPr>
                <w:rFonts w:eastAsia="標楷體" w:hint="eastAsia"/>
                <w:sz w:val="28"/>
                <w:szCs w:val="28"/>
              </w:rPr>
              <w:t>重點摘要</w:t>
            </w:r>
            <w:r w:rsidRPr="00256433">
              <w:rPr>
                <w:rFonts w:eastAsia="標楷體" w:hint="eastAsia"/>
                <w:sz w:val="28"/>
                <w:szCs w:val="28"/>
              </w:rPr>
              <w:t>:</w:t>
            </w:r>
          </w:p>
          <w:p w14:paraId="1DACD854" w14:textId="448E881A" w:rsidR="00941391" w:rsidRDefault="00941391" w:rsidP="00256433">
            <w:pPr>
              <w:snapToGrid w:val="0"/>
              <w:spacing w:beforeLines="50" w:before="180"/>
              <w:rPr>
                <w:rFonts w:eastAsia="標楷體"/>
                <w:sz w:val="28"/>
                <w:szCs w:val="28"/>
              </w:rPr>
            </w:pPr>
            <w:r>
              <w:rPr>
                <w:rFonts w:eastAsia="標楷體"/>
                <w:sz w:val="28"/>
                <w:szCs w:val="28"/>
              </w:rPr>
              <w:t xml:space="preserve">Synthetic plastic </w:t>
            </w:r>
            <w:r>
              <w:rPr>
                <w:rFonts w:eastAsia="標楷體" w:hint="eastAsia"/>
                <w:sz w:val="28"/>
                <w:szCs w:val="28"/>
              </w:rPr>
              <w:t>被廣泛使用的今天，同時也造成了許多汙染</w:t>
            </w:r>
            <w:r w:rsidR="00FA5F71">
              <w:rPr>
                <w:rFonts w:eastAsia="標楷體" w:hint="eastAsia"/>
                <w:sz w:val="28"/>
                <w:szCs w:val="28"/>
              </w:rPr>
              <w:t>。根據統計，</w:t>
            </w:r>
            <w:r w:rsidR="00FA5F71">
              <w:rPr>
                <w:rFonts w:eastAsia="標楷體" w:hint="eastAsia"/>
                <w:sz w:val="28"/>
                <w:szCs w:val="28"/>
              </w:rPr>
              <w:t>2016</w:t>
            </w:r>
            <w:r w:rsidR="00FA5F71">
              <w:rPr>
                <w:rFonts w:eastAsia="標楷體" w:hint="eastAsia"/>
                <w:sz w:val="28"/>
                <w:szCs w:val="28"/>
              </w:rPr>
              <w:t>年僅有</w:t>
            </w:r>
            <w:r w:rsidR="00FA5F71">
              <w:rPr>
                <w:rFonts w:eastAsia="標楷體" w:hint="eastAsia"/>
                <w:sz w:val="28"/>
                <w:szCs w:val="28"/>
              </w:rPr>
              <w:t>16%</w:t>
            </w:r>
            <w:r w:rsidR="00FA5F71">
              <w:rPr>
                <w:rFonts w:eastAsia="標楷體" w:hint="eastAsia"/>
                <w:sz w:val="28"/>
                <w:szCs w:val="28"/>
              </w:rPr>
              <w:t>的塑膠被回收再利用，卻有</w:t>
            </w:r>
            <w:r w:rsidR="00FA5F71">
              <w:rPr>
                <w:rFonts w:eastAsia="標楷體" w:hint="eastAsia"/>
                <w:sz w:val="28"/>
                <w:szCs w:val="28"/>
              </w:rPr>
              <w:t>40%</w:t>
            </w:r>
            <w:r w:rsidR="00FA5F71">
              <w:rPr>
                <w:rFonts w:eastAsia="標楷體" w:hint="eastAsia"/>
                <w:sz w:val="28"/>
                <w:szCs w:val="28"/>
              </w:rPr>
              <w:t>的塑膠被棄置在掩埋場。這些不可被自然分解的物質已經對野生動植物的棲地造成不小破壞，尤其是海洋。</w:t>
            </w:r>
            <w:r w:rsidR="00723D2C">
              <w:rPr>
                <w:rFonts w:eastAsia="標楷體" w:hint="eastAsia"/>
                <w:sz w:val="28"/>
                <w:szCs w:val="28"/>
              </w:rPr>
              <w:t>因此，開發生物可分解的材料至關重要</w:t>
            </w:r>
            <w:r w:rsidR="0044038B">
              <w:rPr>
                <w:rFonts w:eastAsia="標楷體" w:hint="eastAsia"/>
                <w:sz w:val="28"/>
                <w:szCs w:val="28"/>
              </w:rPr>
              <w:t>，而洪教授的研究最終目標便是要使生物質顆粒作為填料來誘導聚合物可自然分解</w:t>
            </w:r>
            <w:r w:rsidR="00723D2C">
              <w:rPr>
                <w:rFonts w:eastAsia="標楷體" w:hint="eastAsia"/>
                <w:sz w:val="28"/>
                <w:szCs w:val="28"/>
              </w:rPr>
              <w:t>。這次演講的主題一共分為兩個部分，第一部分是將微藻</w:t>
            </w:r>
            <w:r w:rsidR="00723D2C">
              <w:rPr>
                <w:rFonts w:eastAsia="標楷體" w:hint="eastAsia"/>
                <w:sz w:val="28"/>
                <w:szCs w:val="28"/>
              </w:rPr>
              <w:t>(</w:t>
            </w:r>
            <w:r w:rsidR="00723D2C">
              <w:rPr>
                <w:rFonts w:eastAsia="標楷體"/>
                <w:sz w:val="28"/>
                <w:szCs w:val="28"/>
              </w:rPr>
              <w:t>Microalgae</w:t>
            </w:r>
            <w:r w:rsidR="00723D2C">
              <w:rPr>
                <w:rFonts w:eastAsia="標楷體" w:hint="eastAsia"/>
                <w:sz w:val="28"/>
                <w:szCs w:val="28"/>
              </w:rPr>
              <w:t>)</w:t>
            </w:r>
            <w:r w:rsidR="00723D2C">
              <w:rPr>
                <w:rFonts w:eastAsia="標楷體" w:hint="eastAsia"/>
                <w:sz w:val="28"/>
                <w:szCs w:val="28"/>
              </w:rPr>
              <w:t>作為生物質粒子</w:t>
            </w:r>
            <w:r w:rsidR="0044038B">
              <w:rPr>
                <w:rFonts w:eastAsia="標楷體" w:hint="eastAsia"/>
                <w:sz w:val="28"/>
                <w:szCs w:val="28"/>
              </w:rPr>
              <w:t>的研究成果</w:t>
            </w:r>
            <w:r w:rsidR="00A0048A">
              <w:rPr>
                <w:rFonts w:eastAsia="標楷體" w:hint="eastAsia"/>
                <w:sz w:val="28"/>
                <w:szCs w:val="28"/>
              </w:rPr>
              <w:t>，第二部分則是生物聚合物複合材料。</w:t>
            </w:r>
          </w:p>
          <w:p w14:paraId="0842072C" w14:textId="389F32BB" w:rsidR="008D13FD" w:rsidRDefault="008D13FD" w:rsidP="00256433">
            <w:pPr>
              <w:snapToGrid w:val="0"/>
              <w:spacing w:beforeLines="50" w:before="180"/>
              <w:rPr>
                <w:rFonts w:eastAsia="標楷體"/>
                <w:sz w:val="28"/>
                <w:szCs w:val="28"/>
              </w:rPr>
            </w:pPr>
            <w:r>
              <w:rPr>
                <w:rFonts w:eastAsia="標楷體" w:hint="eastAsia"/>
                <w:sz w:val="28"/>
                <w:szCs w:val="28"/>
              </w:rPr>
              <w:t>洪教授所研究的微藻</w:t>
            </w:r>
            <w:r w:rsidRPr="008D13FD">
              <w:rPr>
                <w:rFonts w:eastAsia="標楷體"/>
                <w:sz w:val="28"/>
                <w:szCs w:val="28"/>
              </w:rPr>
              <w:t>(Chlorella sp. HS2)</w:t>
            </w:r>
            <w:r>
              <w:rPr>
                <w:rFonts w:eastAsia="標楷體" w:hint="eastAsia"/>
                <w:sz w:val="28"/>
                <w:szCs w:val="28"/>
              </w:rPr>
              <w:t>，具又生長快速、富含蛋白質</w:t>
            </w:r>
            <w:r>
              <w:rPr>
                <w:rFonts w:eastAsia="標楷體" w:hint="eastAsia"/>
                <w:sz w:val="28"/>
                <w:szCs w:val="28"/>
              </w:rPr>
              <w:t>(</w:t>
            </w:r>
            <w:r>
              <w:rPr>
                <w:rFonts w:eastAsia="標楷體" w:hint="eastAsia"/>
                <w:sz w:val="28"/>
                <w:szCs w:val="28"/>
              </w:rPr>
              <w:t>高碳密度</w:t>
            </w:r>
            <w:r>
              <w:rPr>
                <w:rFonts w:eastAsia="標楷體" w:hint="eastAsia"/>
                <w:sz w:val="28"/>
                <w:szCs w:val="28"/>
              </w:rPr>
              <w:t>)</w:t>
            </w:r>
            <w:r>
              <w:rPr>
                <w:rFonts w:eastAsia="標楷體" w:hint="eastAsia"/>
                <w:sz w:val="28"/>
                <w:szCs w:val="28"/>
              </w:rPr>
              <w:t>的特性。將其引用為生物質</w:t>
            </w:r>
            <w:r w:rsidR="00F82A8C">
              <w:rPr>
                <w:rFonts w:eastAsia="標楷體" w:hint="eastAsia"/>
                <w:sz w:val="28"/>
                <w:szCs w:val="28"/>
              </w:rPr>
              <w:t>粒子</w:t>
            </w:r>
            <w:r>
              <w:rPr>
                <w:rFonts w:eastAsia="標楷體" w:hint="eastAsia"/>
                <w:sz w:val="28"/>
                <w:szCs w:val="28"/>
              </w:rPr>
              <w:t>，不僅能快速</w:t>
            </w:r>
            <w:r w:rsidR="00F82A8C">
              <w:rPr>
                <w:rFonts w:eastAsia="標楷體" w:hint="eastAsia"/>
                <w:sz w:val="28"/>
                <w:szCs w:val="28"/>
              </w:rPr>
              <w:t>且低成本地</w:t>
            </w:r>
            <w:r>
              <w:rPr>
                <w:rFonts w:eastAsia="標楷體" w:hint="eastAsia"/>
                <w:sz w:val="28"/>
                <w:szCs w:val="28"/>
              </w:rPr>
              <w:t>得到環保的聚合物複合物，更可以藉光合作用封存大量的二氧化碳</w:t>
            </w:r>
            <w:r w:rsidR="00F82A8C">
              <w:rPr>
                <w:rFonts w:eastAsia="標楷體" w:hint="eastAsia"/>
                <w:sz w:val="28"/>
                <w:szCs w:val="28"/>
              </w:rPr>
              <w:t>。報告中，洪教授提到了微藻的特性</w:t>
            </w:r>
            <w:r w:rsidR="00F82A8C">
              <w:rPr>
                <w:rFonts w:eastAsia="標楷體" w:hint="eastAsia"/>
                <w:sz w:val="28"/>
                <w:szCs w:val="28"/>
              </w:rPr>
              <w:t>: 1.</w:t>
            </w:r>
            <w:r w:rsidR="00F82A8C">
              <w:rPr>
                <w:rFonts w:eastAsia="標楷體" w:hint="eastAsia"/>
                <w:sz w:val="28"/>
                <w:szCs w:val="28"/>
              </w:rPr>
              <w:t>當材料中</w:t>
            </w:r>
            <w:r w:rsidR="00E779D3">
              <w:rPr>
                <w:rFonts w:eastAsia="標楷體" w:hint="eastAsia"/>
                <w:sz w:val="28"/>
                <w:szCs w:val="28"/>
              </w:rPr>
              <w:t>微藻的含量越多，楊氏係數便越高，但是抗拉強度卻降低，代表材料整體變脆。</w:t>
            </w:r>
            <w:r w:rsidR="00E779D3">
              <w:rPr>
                <w:rFonts w:eastAsia="標楷體" w:hint="eastAsia"/>
                <w:sz w:val="28"/>
                <w:szCs w:val="28"/>
              </w:rPr>
              <w:t>2.</w:t>
            </w:r>
            <w:r w:rsidR="00E779D3">
              <w:rPr>
                <w:rFonts w:eastAsia="標楷體" w:hint="eastAsia"/>
                <w:sz w:val="28"/>
                <w:szCs w:val="28"/>
              </w:rPr>
              <w:t>帶極性的聚合物與富含蛋白質的微藻相容性有限，導致微觀下處於分散狀態，但是，只要放置於高溫一段時間，促成蛋白質的變性，有助於介面黏附。</w:t>
            </w:r>
          </w:p>
          <w:p w14:paraId="4E6A0115" w14:textId="77777777" w:rsidR="00163A09" w:rsidRDefault="00163A09" w:rsidP="00256433">
            <w:pPr>
              <w:snapToGrid w:val="0"/>
              <w:spacing w:beforeLines="50" w:before="180"/>
              <w:rPr>
                <w:rFonts w:eastAsia="標楷體" w:hint="eastAsia"/>
                <w:sz w:val="28"/>
                <w:szCs w:val="28"/>
              </w:rPr>
            </w:pPr>
          </w:p>
          <w:p w14:paraId="46E7FB75" w14:textId="69BB68DE" w:rsidR="00256433" w:rsidRDefault="00256433" w:rsidP="00256433">
            <w:pPr>
              <w:snapToGrid w:val="0"/>
              <w:spacing w:beforeLines="50" w:before="180"/>
              <w:rPr>
                <w:rFonts w:eastAsia="標楷體"/>
                <w:sz w:val="28"/>
                <w:szCs w:val="28"/>
              </w:rPr>
            </w:pPr>
            <w:r w:rsidRPr="00256433">
              <w:rPr>
                <w:rFonts w:eastAsia="標楷體" w:hint="eastAsia"/>
                <w:sz w:val="28"/>
                <w:szCs w:val="28"/>
              </w:rPr>
              <w:t>評析或討論</w:t>
            </w:r>
            <w:r w:rsidRPr="00256433">
              <w:rPr>
                <w:rFonts w:eastAsia="標楷體" w:hint="eastAsia"/>
                <w:sz w:val="28"/>
                <w:szCs w:val="28"/>
              </w:rPr>
              <w:t>:</w:t>
            </w:r>
          </w:p>
          <w:p w14:paraId="69584028" w14:textId="1EA0BE9E" w:rsidR="00EF1CB3" w:rsidRPr="00F55900" w:rsidRDefault="000D0B43" w:rsidP="00256433">
            <w:pPr>
              <w:snapToGrid w:val="0"/>
              <w:spacing w:beforeLines="50" w:before="180"/>
              <w:rPr>
                <w:rFonts w:eastAsia="標楷體"/>
                <w:sz w:val="28"/>
                <w:szCs w:val="28"/>
              </w:rPr>
            </w:pPr>
            <w:r>
              <w:rPr>
                <w:rFonts w:eastAsia="標楷體" w:hint="eastAsia"/>
                <w:sz w:val="28"/>
                <w:szCs w:val="28"/>
              </w:rPr>
              <w:t>我覺得今天的講座給我帶來了不同的角度觀點來看待材料科學。以往，身為機械系學生的我們僅重視材料在工程上的表現，如抗拉強度、熱脹係數、導電率等。然而一昧重視性能的同時卻忽略那些材料對於環境帶來的損害，有的被丟棄後</w:t>
            </w:r>
            <w:r w:rsidR="00837FCE">
              <w:rPr>
                <w:rFonts w:eastAsia="標楷體" w:hint="eastAsia"/>
                <w:sz w:val="28"/>
                <w:szCs w:val="28"/>
              </w:rPr>
              <w:t>經過上萬年都無法被自然分解，有的在製造的過程中便對環境造成莫大的汙染。如今，隨著永續議題受到重視，人們取之於地球，也應當還於地球。開發材料時，我們應當將它的生命循環考慮進去。從材料的生產、加工，到回收再利用或者分解，都應該將汙染降到最低。甚至還能如今天洪教授所介紹的微藻，</w:t>
            </w:r>
            <w:r w:rsidR="00051A5A">
              <w:rPr>
                <w:rFonts w:eastAsia="標楷體" w:hint="eastAsia"/>
                <w:sz w:val="28"/>
                <w:szCs w:val="28"/>
              </w:rPr>
              <w:t>在製造的同時還能進行碳封存。如此一來這才是一份具有永續價值、可以被未來利用的好材料。</w:t>
            </w:r>
          </w:p>
        </w:tc>
      </w:tr>
    </w:tbl>
    <w:p w14:paraId="5FE8E87E" w14:textId="77777777" w:rsidR="002D68C9" w:rsidRPr="00F55900" w:rsidRDefault="002D68C9" w:rsidP="00C37209">
      <w:pPr>
        <w:snapToGrid w:val="0"/>
        <w:rPr>
          <w:rFonts w:hint="eastAsia"/>
          <w:sz w:val="28"/>
          <w:szCs w:val="28"/>
        </w:rPr>
      </w:pPr>
    </w:p>
    <w:sectPr w:rsidR="002D68C9" w:rsidRPr="00F55900" w:rsidSect="00AD5B29">
      <w:pgSz w:w="11906" w:h="16838" w:code="9"/>
      <w:pgMar w:top="567" w:right="567" w:bottom="397" w:left="567" w:header="851" w:footer="28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0275" w14:textId="77777777" w:rsidR="00D40F0B" w:rsidRDefault="00D40F0B" w:rsidP="00DC3A3A">
      <w:r>
        <w:separator/>
      </w:r>
    </w:p>
  </w:endnote>
  <w:endnote w:type="continuationSeparator" w:id="0">
    <w:p w14:paraId="5A87C0C8" w14:textId="77777777" w:rsidR="00D40F0B" w:rsidRDefault="00D40F0B" w:rsidP="00DC3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E4F5" w14:textId="77777777" w:rsidR="00D40F0B" w:rsidRDefault="00D40F0B" w:rsidP="00DC3A3A">
      <w:r>
        <w:separator/>
      </w:r>
    </w:p>
  </w:footnote>
  <w:footnote w:type="continuationSeparator" w:id="0">
    <w:p w14:paraId="6E634F43" w14:textId="77777777" w:rsidR="00D40F0B" w:rsidRDefault="00D40F0B" w:rsidP="00DC3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E7C45"/>
    <w:multiLevelType w:val="hybridMultilevel"/>
    <w:tmpl w:val="5A283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21"/>
    <w:rsid w:val="000007F5"/>
    <w:rsid w:val="00012306"/>
    <w:rsid w:val="0002213D"/>
    <w:rsid w:val="00040B8B"/>
    <w:rsid w:val="00046326"/>
    <w:rsid w:val="00051A5A"/>
    <w:rsid w:val="00051F54"/>
    <w:rsid w:val="00060821"/>
    <w:rsid w:val="00077C2C"/>
    <w:rsid w:val="00085151"/>
    <w:rsid w:val="00086921"/>
    <w:rsid w:val="000A4F37"/>
    <w:rsid w:val="000A66D0"/>
    <w:rsid w:val="000D0B43"/>
    <w:rsid w:val="0011460F"/>
    <w:rsid w:val="001163D3"/>
    <w:rsid w:val="00120156"/>
    <w:rsid w:val="00125CBC"/>
    <w:rsid w:val="001372A8"/>
    <w:rsid w:val="00156530"/>
    <w:rsid w:val="0016180E"/>
    <w:rsid w:val="00163A09"/>
    <w:rsid w:val="00163DBC"/>
    <w:rsid w:val="001E721D"/>
    <w:rsid w:val="001F0ECC"/>
    <w:rsid w:val="001F3BCB"/>
    <w:rsid w:val="001F524A"/>
    <w:rsid w:val="00207B69"/>
    <w:rsid w:val="0021174D"/>
    <w:rsid w:val="00213CCA"/>
    <w:rsid w:val="00217095"/>
    <w:rsid w:val="00243527"/>
    <w:rsid w:val="00246FD0"/>
    <w:rsid w:val="0025255B"/>
    <w:rsid w:val="00256433"/>
    <w:rsid w:val="00271AB8"/>
    <w:rsid w:val="002737A5"/>
    <w:rsid w:val="002904BC"/>
    <w:rsid w:val="00292156"/>
    <w:rsid w:val="002B1664"/>
    <w:rsid w:val="002B334F"/>
    <w:rsid w:val="002D68C9"/>
    <w:rsid w:val="00300F53"/>
    <w:rsid w:val="00345045"/>
    <w:rsid w:val="00367D28"/>
    <w:rsid w:val="003A1A70"/>
    <w:rsid w:val="003E3CAD"/>
    <w:rsid w:val="003E7182"/>
    <w:rsid w:val="00400659"/>
    <w:rsid w:val="0044038B"/>
    <w:rsid w:val="0047022E"/>
    <w:rsid w:val="0047467D"/>
    <w:rsid w:val="00482B7B"/>
    <w:rsid w:val="00486B7F"/>
    <w:rsid w:val="004A34A3"/>
    <w:rsid w:val="004B6799"/>
    <w:rsid w:val="004E4FBF"/>
    <w:rsid w:val="00515309"/>
    <w:rsid w:val="00534E31"/>
    <w:rsid w:val="00545168"/>
    <w:rsid w:val="00545217"/>
    <w:rsid w:val="005524C1"/>
    <w:rsid w:val="0056101F"/>
    <w:rsid w:val="005610C2"/>
    <w:rsid w:val="00591BFC"/>
    <w:rsid w:val="005A4F46"/>
    <w:rsid w:val="005A5FC0"/>
    <w:rsid w:val="005C792A"/>
    <w:rsid w:val="005D5F2E"/>
    <w:rsid w:val="005F4B38"/>
    <w:rsid w:val="006105DC"/>
    <w:rsid w:val="0062675E"/>
    <w:rsid w:val="006379C7"/>
    <w:rsid w:val="00640CD4"/>
    <w:rsid w:val="00662D3A"/>
    <w:rsid w:val="006776BA"/>
    <w:rsid w:val="00693A25"/>
    <w:rsid w:val="00695FFD"/>
    <w:rsid w:val="006D6EE6"/>
    <w:rsid w:val="00703CF7"/>
    <w:rsid w:val="00710CC8"/>
    <w:rsid w:val="00723D2C"/>
    <w:rsid w:val="007567F3"/>
    <w:rsid w:val="007810EF"/>
    <w:rsid w:val="00796687"/>
    <w:rsid w:val="007A062A"/>
    <w:rsid w:val="007A7621"/>
    <w:rsid w:val="007B442C"/>
    <w:rsid w:val="00801303"/>
    <w:rsid w:val="00802F2C"/>
    <w:rsid w:val="00810A7D"/>
    <w:rsid w:val="00837FCE"/>
    <w:rsid w:val="008577E6"/>
    <w:rsid w:val="008813EE"/>
    <w:rsid w:val="0088505C"/>
    <w:rsid w:val="008D13FD"/>
    <w:rsid w:val="008D20F7"/>
    <w:rsid w:val="008E5039"/>
    <w:rsid w:val="009176D3"/>
    <w:rsid w:val="00941391"/>
    <w:rsid w:val="009424AA"/>
    <w:rsid w:val="00960D8C"/>
    <w:rsid w:val="00966435"/>
    <w:rsid w:val="00997EC0"/>
    <w:rsid w:val="009A514B"/>
    <w:rsid w:val="009D448C"/>
    <w:rsid w:val="009E1D02"/>
    <w:rsid w:val="00A0048A"/>
    <w:rsid w:val="00A126F1"/>
    <w:rsid w:val="00A35838"/>
    <w:rsid w:val="00A40751"/>
    <w:rsid w:val="00A47495"/>
    <w:rsid w:val="00A5295E"/>
    <w:rsid w:val="00A60695"/>
    <w:rsid w:val="00A65061"/>
    <w:rsid w:val="00A6703D"/>
    <w:rsid w:val="00A90D20"/>
    <w:rsid w:val="00A92F91"/>
    <w:rsid w:val="00A932BD"/>
    <w:rsid w:val="00AA3ACD"/>
    <w:rsid w:val="00AD5B29"/>
    <w:rsid w:val="00B1485B"/>
    <w:rsid w:val="00B337EA"/>
    <w:rsid w:val="00B441F2"/>
    <w:rsid w:val="00B701AA"/>
    <w:rsid w:val="00B82799"/>
    <w:rsid w:val="00B8525C"/>
    <w:rsid w:val="00B92E2A"/>
    <w:rsid w:val="00B9306F"/>
    <w:rsid w:val="00BB6F9F"/>
    <w:rsid w:val="00BD26D0"/>
    <w:rsid w:val="00BD6B55"/>
    <w:rsid w:val="00C37209"/>
    <w:rsid w:val="00C74DB4"/>
    <w:rsid w:val="00CA0950"/>
    <w:rsid w:val="00CA7618"/>
    <w:rsid w:val="00CD3BC3"/>
    <w:rsid w:val="00CE14F6"/>
    <w:rsid w:val="00CF041B"/>
    <w:rsid w:val="00CF4889"/>
    <w:rsid w:val="00CF699A"/>
    <w:rsid w:val="00D027EA"/>
    <w:rsid w:val="00D17ACE"/>
    <w:rsid w:val="00D212DA"/>
    <w:rsid w:val="00D40F0B"/>
    <w:rsid w:val="00D42C14"/>
    <w:rsid w:val="00D46A5A"/>
    <w:rsid w:val="00D530B0"/>
    <w:rsid w:val="00D810A6"/>
    <w:rsid w:val="00D82CCE"/>
    <w:rsid w:val="00D943C3"/>
    <w:rsid w:val="00DA1EF0"/>
    <w:rsid w:val="00DA216F"/>
    <w:rsid w:val="00DA5635"/>
    <w:rsid w:val="00DC3A3A"/>
    <w:rsid w:val="00DE0672"/>
    <w:rsid w:val="00DE6E83"/>
    <w:rsid w:val="00E01A56"/>
    <w:rsid w:val="00E03408"/>
    <w:rsid w:val="00E26AFF"/>
    <w:rsid w:val="00E4335C"/>
    <w:rsid w:val="00E44141"/>
    <w:rsid w:val="00E470C8"/>
    <w:rsid w:val="00E66CDF"/>
    <w:rsid w:val="00E779D3"/>
    <w:rsid w:val="00E94A11"/>
    <w:rsid w:val="00EA101B"/>
    <w:rsid w:val="00EC70C6"/>
    <w:rsid w:val="00EE1CD2"/>
    <w:rsid w:val="00EE255D"/>
    <w:rsid w:val="00EF1CB3"/>
    <w:rsid w:val="00F26A5F"/>
    <w:rsid w:val="00F341DE"/>
    <w:rsid w:val="00F51EE9"/>
    <w:rsid w:val="00F54C96"/>
    <w:rsid w:val="00F55900"/>
    <w:rsid w:val="00F82A8C"/>
    <w:rsid w:val="00F83B42"/>
    <w:rsid w:val="00FA5F71"/>
    <w:rsid w:val="00FB4C75"/>
    <w:rsid w:val="00FB7960"/>
    <w:rsid w:val="00FC5C9E"/>
    <w:rsid w:val="00FF06C9"/>
    <w:rsid w:val="00FF3D0F"/>
    <w:rsid w:val="00FF3D93"/>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D9E31"/>
  <w15:chartTrackingRefBased/>
  <w15:docId w15:val="{1B337E4A-918F-45C2-AAE2-A398F803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3A3A"/>
    <w:pPr>
      <w:tabs>
        <w:tab w:val="center" w:pos="4153"/>
        <w:tab w:val="right" w:pos="8306"/>
      </w:tabs>
      <w:snapToGrid w:val="0"/>
    </w:pPr>
    <w:rPr>
      <w:sz w:val="20"/>
      <w:szCs w:val="20"/>
      <w:lang w:val="x-none" w:eastAsia="x-none"/>
    </w:rPr>
  </w:style>
  <w:style w:type="character" w:customStyle="1" w:styleId="a4">
    <w:name w:val="頁首 字元"/>
    <w:link w:val="a3"/>
    <w:rsid w:val="00DC3A3A"/>
    <w:rPr>
      <w:kern w:val="2"/>
    </w:rPr>
  </w:style>
  <w:style w:type="paragraph" w:styleId="a5">
    <w:name w:val="footer"/>
    <w:basedOn w:val="a"/>
    <w:link w:val="a6"/>
    <w:rsid w:val="00DC3A3A"/>
    <w:pPr>
      <w:tabs>
        <w:tab w:val="center" w:pos="4153"/>
        <w:tab w:val="right" w:pos="8306"/>
      </w:tabs>
      <w:snapToGrid w:val="0"/>
    </w:pPr>
    <w:rPr>
      <w:sz w:val="20"/>
      <w:szCs w:val="20"/>
      <w:lang w:val="x-none" w:eastAsia="x-none"/>
    </w:rPr>
  </w:style>
  <w:style w:type="character" w:customStyle="1" w:styleId="a6">
    <w:name w:val="頁尾 字元"/>
    <w:link w:val="a5"/>
    <w:rsid w:val="00DC3A3A"/>
    <w:rPr>
      <w:kern w:val="2"/>
    </w:rPr>
  </w:style>
  <w:style w:type="table" w:styleId="a7">
    <w:name w:val="Table Grid"/>
    <w:basedOn w:val="a1"/>
    <w:rsid w:val="00207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0A7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132</Words>
  <Characters>754</Characters>
  <Application>Microsoft Office Word</Application>
  <DocSecurity>0</DocSecurity>
  <Lines>6</Lines>
  <Paragraphs>1</Paragraphs>
  <ScaleCrop>false</ScaleCrop>
  <Company>ntu</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國立台灣大學機械工程所專題討論心得報告</dc:title>
  <dc:subject/>
  <dc:creator>ntu</dc:creator>
  <cp:keywords/>
  <cp:lastModifiedBy>SOLab</cp:lastModifiedBy>
  <cp:revision>3</cp:revision>
  <cp:lastPrinted>2015-01-27T02:07:00Z</cp:lastPrinted>
  <dcterms:created xsi:type="dcterms:W3CDTF">2024-02-26T07:44:00Z</dcterms:created>
  <dcterms:modified xsi:type="dcterms:W3CDTF">2024-02-26T11:57:00Z</dcterms:modified>
</cp:coreProperties>
</file>