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61EF2D5F" w14:textId="77777777" w:rsidTr="007B442C">
        <w:trPr>
          <w:cantSplit/>
          <w:trHeight w:val="699"/>
        </w:trPr>
        <w:tc>
          <w:tcPr>
            <w:tcW w:w="1470" w:type="dxa"/>
          </w:tcPr>
          <w:p w14:paraId="5B93BCF4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4DC4D4FA" w14:textId="4EB13C9F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</w:t>
            </w:r>
            <w:proofErr w:type="gramStart"/>
            <w:r>
              <w:rPr>
                <w:rFonts w:ascii="標楷體" w:eastAsia="標楷體" w:hint="eastAsia"/>
                <w:b/>
                <w:sz w:val="28"/>
                <w:szCs w:val="28"/>
              </w:rPr>
              <w:t>邑</w:t>
            </w:r>
            <w:proofErr w:type="gramEnd"/>
            <w:r>
              <w:rPr>
                <w:rFonts w:ascii="標楷體" w:eastAsia="標楷體" w:hint="eastAsia"/>
                <w:b/>
                <w:sz w:val="28"/>
                <w:szCs w:val="28"/>
              </w:rPr>
              <w:t>安</w:t>
            </w:r>
          </w:p>
        </w:tc>
        <w:tc>
          <w:tcPr>
            <w:tcW w:w="1418" w:type="dxa"/>
          </w:tcPr>
          <w:p w14:paraId="132B49B9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proofErr w:type="gramStart"/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proofErr w:type="gramEnd"/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7EB7FBF2" w14:textId="71AE985D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73496687" w14:textId="4CA7CF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聽講日期：　</w:t>
            </w:r>
            <w:r w:rsidR="00683127">
              <w:rPr>
                <w:rFonts w:ascii="標楷體" w:eastAsia="標楷體" w:hint="eastAsia"/>
                <w:b/>
                <w:sz w:val="28"/>
                <w:szCs w:val="28"/>
              </w:rPr>
              <w:t>9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月　</w:t>
            </w:r>
            <w:r w:rsidR="00782B73">
              <w:rPr>
                <w:rFonts w:ascii="標楷體" w:eastAsia="標楷體" w:hint="eastAsia"/>
                <w:b/>
                <w:sz w:val="28"/>
                <w:szCs w:val="28"/>
              </w:rPr>
              <w:t>2</w:t>
            </w:r>
            <w:r w:rsidR="00A63BEE">
              <w:rPr>
                <w:rFonts w:ascii="標楷體" w:eastAsia="標楷體" w:hint="eastAsia"/>
                <w:b/>
                <w:sz w:val="28"/>
                <w:szCs w:val="28"/>
              </w:rPr>
              <w:t>5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B86A680" w14:textId="77777777" w:rsidTr="004B6799">
        <w:trPr>
          <w:cantSplit/>
        </w:trPr>
        <w:tc>
          <w:tcPr>
            <w:tcW w:w="1470" w:type="dxa"/>
          </w:tcPr>
          <w:p w14:paraId="2FAC77BE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067A92E3" w14:textId="06A0AF46" w:rsidR="00F55900" w:rsidRPr="00F55900" w:rsidRDefault="00A63BEE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孫珍理</w:t>
            </w:r>
          </w:p>
        </w:tc>
        <w:tc>
          <w:tcPr>
            <w:tcW w:w="1418" w:type="dxa"/>
          </w:tcPr>
          <w:p w14:paraId="2761C04B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C1ACF11" w14:textId="1F3C7B2A" w:rsidR="00F55900" w:rsidRPr="00F55900" w:rsidRDefault="00A63BEE" w:rsidP="00C37209">
            <w:pPr>
              <w:snapToGrid w:val="0"/>
              <w:spacing w:before="120" w:after="120"/>
              <w:ind w:leftChars="50" w:left="120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Sc</w:t>
            </w:r>
            <w:r>
              <w:rPr>
                <w:rFonts w:ascii="標楷體" w:eastAsia="標楷體"/>
                <w:b/>
              </w:rPr>
              <w:t>aling up thermal management for electronics: from die to system level</w:t>
            </w:r>
          </w:p>
        </w:tc>
      </w:tr>
      <w:tr w:rsidR="00534E31" w:rsidRPr="00F55900" w14:paraId="7A5C9857" w14:textId="77777777" w:rsidTr="005822B7">
        <w:trPr>
          <w:cantSplit/>
          <w:trHeight w:val="13432"/>
        </w:trPr>
        <w:tc>
          <w:tcPr>
            <w:tcW w:w="10787" w:type="dxa"/>
            <w:gridSpan w:val="5"/>
          </w:tcPr>
          <w:p w14:paraId="6E175FAE" w14:textId="77777777" w:rsidR="00FA6C5F" w:rsidRDefault="003A4991" w:rsidP="00FA6C5F">
            <w:pPr>
              <w:widowControl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重點摘要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23F392B2" w14:textId="16F263A7" w:rsidR="00A63BEE" w:rsidRPr="00A63BEE" w:rsidRDefault="00A63BEE" w:rsidP="00A63BEE">
            <w:pPr>
              <w:pStyle w:val="a8"/>
              <w:widowControl/>
              <w:numPr>
                <w:ilvl w:val="0"/>
                <w:numId w:val="1"/>
              </w:numPr>
              <w:spacing w:beforeLines="50" w:before="180" w:line="400" w:lineRule="exact"/>
              <w:ind w:leftChars="0"/>
              <w:rPr>
                <w:rFonts w:eastAsia="標楷體" w:hint="eastAsia"/>
                <w:sz w:val="28"/>
                <w:szCs w:val="28"/>
              </w:rPr>
            </w:pPr>
            <w:r w:rsidRPr="00A63BEE">
              <w:rPr>
                <w:rFonts w:eastAsia="標楷體" w:hint="eastAsia"/>
                <w:sz w:val="28"/>
                <w:szCs w:val="28"/>
              </w:rPr>
              <w:t>相關預測顯示，從</w:t>
            </w:r>
            <w:r w:rsidRPr="00A63BEE">
              <w:rPr>
                <w:rFonts w:eastAsia="標楷體" w:hint="eastAsia"/>
                <w:sz w:val="28"/>
                <w:szCs w:val="28"/>
              </w:rPr>
              <w:t>2030</w:t>
            </w:r>
            <w:r w:rsidRPr="00A63BEE">
              <w:rPr>
                <w:rFonts w:eastAsia="標楷體" w:hint="eastAsia"/>
                <w:sz w:val="28"/>
                <w:szCs w:val="28"/>
              </w:rPr>
              <w:t>年起資通科技</w:t>
            </w:r>
            <w:r w:rsidRPr="00A63BEE">
              <w:rPr>
                <w:rFonts w:eastAsia="標楷體" w:hint="eastAsia"/>
                <w:sz w:val="28"/>
                <w:szCs w:val="28"/>
              </w:rPr>
              <w:t>(ICT)</w:t>
            </w:r>
            <w:r w:rsidRPr="00A63BEE">
              <w:rPr>
                <w:rFonts w:eastAsia="標楷體" w:hint="eastAsia"/>
                <w:sz w:val="28"/>
                <w:szCs w:val="28"/>
              </w:rPr>
              <w:t>的能源需求，將由資料中心占最</w:t>
            </w:r>
            <w:proofErr w:type="gramStart"/>
            <w:r w:rsidRPr="00A63BEE">
              <w:rPr>
                <w:rFonts w:eastAsia="標楷體" w:hint="eastAsia"/>
                <w:sz w:val="28"/>
                <w:szCs w:val="28"/>
              </w:rPr>
              <w:t>大宗，</w:t>
            </w:r>
            <w:proofErr w:type="gramEnd"/>
            <w:r w:rsidRPr="00A63BEE">
              <w:rPr>
                <w:rFonts w:eastAsia="標楷體" w:hint="eastAsia"/>
                <w:sz w:val="28"/>
                <w:szCs w:val="28"/>
              </w:rPr>
              <w:t>而網路則占第二。事實上，這兩項科技合計在目前已經占全球電力消耗的</w:t>
            </w:r>
            <w:r w:rsidRPr="00A63BEE">
              <w:rPr>
                <w:rFonts w:eastAsia="標楷體" w:hint="eastAsia"/>
                <w:sz w:val="28"/>
                <w:szCs w:val="28"/>
              </w:rPr>
              <w:t>1.1~1.4%</w:t>
            </w:r>
            <w:r w:rsidRPr="00A63BEE">
              <w:rPr>
                <w:rFonts w:eastAsia="標楷體" w:hint="eastAsia"/>
                <w:sz w:val="28"/>
                <w:szCs w:val="28"/>
              </w:rPr>
              <w:t>，而當中有將近</w:t>
            </w:r>
            <w:r w:rsidRPr="00A63BEE">
              <w:rPr>
                <w:rFonts w:eastAsia="標楷體" w:hint="eastAsia"/>
                <w:sz w:val="28"/>
                <w:szCs w:val="28"/>
              </w:rPr>
              <w:t>40%</w:t>
            </w:r>
            <w:r w:rsidRPr="00A63BEE">
              <w:rPr>
                <w:rFonts w:eastAsia="標楷體" w:hint="eastAsia"/>
                <w:sz w:val="28"/>
                <w:szCs w:val="28"/>
              </w:rPr>
              <w:t>左右的能源被運用來冷卻系統。</w:t>
            </w:r>
          </w:p>
          <w:p w14:paraId="524F7528" w14:textId="646EBA16" w:rsidR="00A63BEE" w:rsidRPr="00A63BEE" w:rsidRDefault="00A63BEE" w:rsidP="00A63BEE">
            <w:pPr>
              <w:pStyle w:val="a8"/>
              <w:widowControl/>
              <w:numPr>
                <w:ilvl w:val="0"/>
                <w:numId w:val="1"/>
              </w:numPr>
              <w:spacing w:beforeLines="50" w:before="180" w:line="400" w:lineRule="exact"/>
              <w:ind w:leftChars="0"/>
              <w:rPr>
                <w:rFonts w:eastAsia="標楷體" w:hint="eastAsia"/>
                <w:sz w:val="28"/>
                <w:szCs w:val="28"/>
              </w:rPr>
            </w:pPr>
            <w:r w:rsidRPr="00A63BEE">
              <w:rPr>
                <w:rFonts w:eastAsia="標楷體" w:hint="eastAsia"/>
                <w:sz w:val="28"/>
                <w:szCs w:val="28"/>
              </w:rPr>
              <w:t>高效能</w:t>
            </w:r>
            <w:r w:rsidRPr="00A63BEE">
              <w:rPr>
                <w:rFonts w:eastAsia="標楷體" w:hint="eastAsia"/>
                <w:sz w:val="28"/>
                <w:szCs w:val="28"/>
              </w:rPr>
              <w:t>HPC</w:t>
            </w:r>
            <w:r w:rsidRPr="00A63BEE">
              <w:rPr>
                <w:rFonts w:eastAsia="標楷體" w:hint="eastAsia"/>
                <w:sz w:val="28"/>
                <w:szCs w:val="28"/>
              </w:rPr>
              <w:t>和人工智慧</w:t>
            </w:r>
            <w:r w:rsidRPr="00A63BEE">
              <w:rPr>
                <w:rFonts w:eastAsia="標楷體" w:hint="eastAsia"/>
                <w:sz w:val="28"/>
                <w:szCs w:val="28"/>
              </w:rPr>
              <w:t>AI</w:t>
            </w:r>
            <w:r w:rsidRPr="00A63BEE">
              <w:rPr>
                <w:rFonts w:eastAsia="標楷體" w:hint="eastAsia"/>
                <w:sz w:val="28"/>
                <w:szCs w:val="28"/>
              </w:rPr>
              <w:t>資料中心的運算能力其實是可以再往上增長的，但是目前他們的效能都</w:t>
            </w:r>
            <w:proofErr w:type="gramStart"/>
            <w:r w:rsidRPr="00A63BEE">
              <w:rPr>
                <w:rFonts w:eastAsia="標楷體" w:hint="eastAsia"/>
                <w:sz w:val="28"/>
                <w:szCs w:val="28"/>
              </w:rPr>
              <w:t>被功耗</w:t>
            </w:r>
            <w:proofErr w:type="gramEnd"/>
            <w:r w:rsidRPr="00A63BEE">
              <w:rPr>
                <w:rFonts w:eastAsia="標楷體" w:hint="eastAsia"/>
                <w:sz w:val="28"/>
                <w:szCs w:val="28"/>
              </w:rPr>
              <w:t>、可行性和冷卻能力限制住了。</w:t>
            </w:r>
          </w:p>
          <w:p w14:paraId="4D4E5CBE" w14:textId="1FF91E90" w:rsidR="00A63BEE" w:rsidRPr="00A63BEE" w:rsidRDefault="00A63BEE" w:rsidP="00A63BEE">
            <w:pPr>
              <w:pStyle w:val="a8"/>
              <w:widowControl/>
              <w:numPr>
                <w:ilvl w:val="0"/>
                <w:numId w:val="1"/>
              </w:numPr>
              <w:spacing w:beforeLines="50" w:before="180" w:line="400" w:lineRule="exact"/>
              <w:ind w:leftChars="0"/>
              <w:rPr>
                <w:rFonts w:eastAsia="標楷體" w:hint="eastAsia"/>
                <w:sz w:val="28"/>
                <w:szCs w:val="28"/>
              </w:rPr>
            </w:pPr>
            <w:r w:rsidRPr="00A63BEE">
              <w:rPr>
                <w:rFonts w:eastAsia="標楷體" w:hint="eastAsia"/>
                <w:sz w:val="28"/>
                <w:szCs w:val="28"/>
              </w:rPr>
              <w:t>電子元件和晶片的無論是效能、可靠度或壽命，有很大一部分受到接合面之溫度的影響，也就是要如何將散熱片與</w:t>
            </w:r>
            <w:proofErr w:type="gramStart"/>
            <w:r w:rsidRPr="00A63BEE">
              <w:rPr>
                <w:rFonts w:eastAsia="標楷體" w:hint="eastAsia"/>
                <w:sz w:val="28"/>
                <w:szCs w:val="28"/>
              </w:rPr>
              <w:t>晶片間的交界做薄以控制</w:t>
            </w:r>
            <w:proofErr w:type="gramEnd"/>
            <w:r w:rsidRPr="00A63BEE">
              <w:rPr>
                <w:rFonts w:eastAsia="標楷體" w:hint="eastAsia"/>
                <w:sz w:val="28"/>
                <w:szCs w:val="28"/>
              </w:rPr>
              <w:t>其溫度在安全範圍內，是一項至關重要的工作。</w:t>
            </w:r>
          </w:p>
          <w:p w14:paraId="7E6B7E88" w14:textId="20ABD63E" w:rsidR="00DF2369" w:rsidRPr="00A63BEE" w:rsidRDefault="00A63BEE" w:rsidP="00A63BEE">
            <w:pPr>
              <w:pStyle w:val="a8"/>
              <w:widowControl/>
              <w:numPr>
                <w:ilvl w:val="0"/>
                <w:numId w:val="1"/>
              </w:numPr>
              <w:spacing w:beforeLines="50" w:before="180" w:line="400" w:lineRule="exact"/>
              <w:ind w:leftChars="0"/>
              <w:rPr>
                <w:rFonts w:eastAsia="標楷體"/>
                <w:sz w:val="28"/>
                <w:szCs w:val="28"/>
              </w:rPr>
            </w:pPr>
            <w:r w:rsidRPr="00A63BEE">
              <w:rPr>
                <w:rFonts w:eastAsia="標楷體" w:hint="eastAsia"/>
                <w:sz w:val="28"/>
                <w:szCs w:val="28"/>
              </w:rPr>
              <w:t>以上諸多議題皆顯示，散熱的好壞將決定小至一塊晶片、電子元件，大至資料中心的綜合效能。</w:t>
            </w:r>
          </w:p>
          <w:p w14:paraId="193B9A8E" w14:textId="6B9CEE36" w:rsidR="003A4991" w:rsidRPr="003A4991" w:rsidRDefault="003A4991" w:rsidP="00FA6C5F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proofErr w:type="gramStart"/>
            <w:r w:rsidRPr="003A4991">
              <w:rPr>
                <w:rFonts w:eastAsia="標楷體" w:hint="eastAsia"/>
                <w:sz w:val="28"/>
                <w:szCs w:val="28"/>
              </w:rPr>
              <w:t>評析或討論</w:t>
            </w:r>
            <w:proofErr w:type="gramEnd"/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496703C" w14:textId="4EDB7022" w:rsidR="00782B73" w:rsidRPr="00F55900" w:rsidRDefault="00A63BEE" w:rsidP="00FA6C5F">
            <w:pPr>
              <w:snapToGrid w:val="0"/>
              <w:spacing w:before="240" w:line="400" w:lineRule="exact"/>
              <w:rPr>
                <w:rFonts w:eastAsia="標楷體"/>
                <w:noProof/>
                <w:sz w:val="28"/>
                <w:szCs w:val="28"/>
              </w:rPr>
            </w:pPr>
            <w:r w:rsidRPr="00A63BEE">
              <w:rPr>
                <w:rFonts w:eastAsia="標楷體" w:hint="eastAsia"/>
                <w:noProof/>
                <w:sz w:val="28"/>
                <w:szCs w:val="28"/>
              </w:rPr>
              <w:t>孫珍理教授的演講，提到了許多她利用自身專長，提高現行散熱系統效率的研究。當中，令我印象最深刻的是</w:t>
            </w:r>
            <w:r w:rsidRPr="00A63BEE">
              <w:rPr>
                <w:rFonts w:eastAsia="標楷體" w:hint="eastAsia"/>
                <w:noProof/>
                <w:sz w:val="28"/>
                <w:szCs w:val="28"/>
              </w:rPr>
              <w:t>lmmersion cooling</w:t>
            </w:r>
            <w:r w:rsidRPr="00A63BEE">
              <w:rPr>
                <w:rFonts w:eastAsia="標楷體" w:hint="eastAsia"/>
                <w:noProof/>
                <w:sz w:val="28"/>
                <w:szCs w:val="28"/>
              </w:rPr>
              <w:t>，其概念是將一整套需冷卻的機組浸泡在冷卻液中，但是僅將他們泡入是不夠的，機組的表面需覆蓋一層優良的導體，才能有效的與冷卻液熱交換。而孫教授便提到用銅網來覆蓋機組，並且發現在冷卻液相變化時，銅網間會產生氣泡，這些氣泡會滯留在網格中，互相合併，形成更大的氣泡，並且阻礙冷卻液與銅網的接觸，致使冷卻效率下降。孫教授的做法，是將銅網間隙做由密至疏的排列，最下層是高密度的網，而最上層的銅網是孔洞最大的。發現這樣做可以有效疏導氣泡排出，大幅增加冷卻效率。並且同步做了將銅網由疏至密排列的版本，結果顯示其導熱能力是最差的，一舉驗證了實驗的假設。我覺得這次的演講者，孫珍理教授非常有智慧，不僅做了很多研究，還懂得變通，非常值得我們學習。</w:t>
            </w:r>
          </w:p>
        </w:tc>
      </w:tr>
    </w:tbl>
    <w:p w14:paraId="4D4D4D0C" w14:textId="77777777" w:rsidR="002D68C9" w:rsidRPr="00F55900" w:rsidRDefault="002D68C9" w:rsidP="00DF236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5588" w14:textId="77777777" w:rsidR="00A53339" w:rsidRDefault="00A53339" w:rsidP="00DC3A3A">
      <w:r>
        <w:separator/>
      </w:r>
    </w:p>
  </w:endnote>
  <w:endnote w:type="continuationSeparator" w:id="0">
    <w:p w14:paraId="3EB405C8" w14:textId="77777777" w:rsidR="00A53339" w:rsidRDefault="00A53339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2265" w14:textId="77777777" w:rsidR="00A53339" w:rsidRDefault="00A53339" w:rsidP="00DC3A3A">
      <w:r>
        <w:separator/>
      </w:r>
    </w:p>
  </w:footnote>
  <w:footnote w:type="continuationSeparator" w:id="0">
    <w:p w14:paraId="4BB769C7" w14:textId="77777777" w:rsidR="00A53339" w:rsidRDefault="00A53339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4403D"/>
    <w:multiLevelType w:val="hybridMultilevel"/>
    <w:tmpl w:val="662AEB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1302E"/>
    <w:rsid w:val="0002213D"/>
    <w:rsid w:val="00040B8B"/>
    <w:rsid w:val="00046326"/>
    <w:rsid w:val="00051F54"/>
    <w:rsid w:val="00054246"/>
    <w:rsid w:val="00060821"/>
    <w:rsid w:val="00077C2C"/>
    <w:rsid w:val="00085151"/>
    <w:rsid w:val="00086921"/>
    <w:rsid w:val="0009238E"/>
    <w:rsid w:val="000A4F37"/>
    <w:rsid w:val="000A66D0"/>
    <w:rsid w:val="0011460F"/>
    <w:rsid w:val="00120156"/>
    <w:rsid w:val="00125CBC"/>
    <w:rsid w:val="001372A8"/>
    <w:rsid w:val="00156530"/>
    <w:rsid w:val="0016180E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737A5"/>
    <w:rsid w:val="002904BC"/>
    <w:rsid w:val="00292156"/>
    <w:rsid w:val="002B1664"/>
    <w:rsid w:val="002B334F"/>
    <w:rsid w:val="002D68C9"/>
    <w:rsid w:val="00300F53"/>
    <w:rsid w:val="00367D28"/>
    <w:rsid w:val="003A1A70"/>
    <w:rsid w:val="003A4991"/>
    <w:rsid w:val="003E3CAD"/>
    <w:rsid w:val="003E7182"/>
    <w:rsid w:val="00400659"/>
    <w:rsid w:val="0047022E"/>
    <w:rsid w:val="0047467D"/>
    <w:rsid w:val="004758F6"/>
    <w:rsid w:val="00482B7B"/>
    <w:rsid w:val="00486B7F"/>
    <w:rsid w:val="004A34A3"/>
    <w:rsid w:val="004B6799"/>
    <w:rsid w:val="004E4FBF"/>
    <w:rsid w:val="00515309"/>
    <w:rsid w:val="00534E31"/>
    <w:rsid w:val="00544CB9"/>
    <w:rsid w:val="00545168"/>
    <w:rsid w:val="00545217"/>
    <w:rsid w:val="005524C1"/>
    <w:rsid w:val="0056101F"/>
    <w:rsid w:val="005610C2"/>
    <w:rsid w:val="005822B7"/>
    <w:rsid w:val="00591BFC"/>
    <w:rsid w:val="005A4F46"/>
    <w:rsid w:val="005A5FC0"/>
    <w:rsid w:val="005C792A"/>
    <w:rsid w:val="005D5F2E"/>
    <w:rsid w:val="005F4B38"/>
    <w:rsid w:val="006105DC"/>
    <w:rsid w:val="006379C7"/>
    <w:rsid w:val="00640CD4"/>
    <w:rsid w:val="006436B6"/>
    <w:rsid w:val="006776BA"/>
    <w:rsid w:val="00683127"/>
    <w:rsid w:val="00693A25"/>
    <w:rsid w:val="00695FFD"/>
    <w:rsid w:val="006D6EE6"/>
    <w:rsid w:val="00703CF7"/>
    <w:rsid w:val="007043DD"/>
    <w:rsid w:val="00710CC8"/>
    <w:rsid w:val="007567F3"/>
    <w:rsid w:val="00782B73"/>
    <w:rsid w:val="00796687"/>
    <w:rsid w:val="007A7621"/>
    <w:rsid w:val="007B442C"/>
    <w:rsid w:val="00801303"/>
    <w:rsid w:val="00802F2C"/>
    <w:rsid w:val="0088505C"/>
    <w:rsid w:val="008B1AC3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53339"/>
    <w:rsid w:val="00A60695"/>
    <w:rsid w:val="00A63BEE"/>
    <w:rsid w:val="00A65061"/>
    <w:rsid w:val="00A6703D"/>
    <w:rsid w:val="00A73190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C3C15"/>
    <w:rsid w:val="00BD26D0"/>
    <w:rsid w:val="00BD6B55"/>
    <w:rsid w:val="00C37209"/>
    <w:rsid w:val="00C74DB4"/>
    <w:rsid w:val="00CA0950"/>
    <w:rsid w:val="00CA7618"/>
    <w:rsid w:val="00CD3BC3"/>
    <w:rsid w:val="00CF041B"/>
    <w:rsid w:val="00CF4889"/>
    <w:rsid w:val="00CF699A"/>
    <w:rsid w:val="00D027EA"/>
    <w:rsid w:val="00D17ACE"/>
    <w:rsid w:val="00D212DA"/>
    <w:rsid w:val="00D42C14"/>
    <w:rsid w:val="00D46A5A"/>
    <w:rsid w:val="00D810A6"/>
    <w:rsid w:val="00D82CCE"/>
    <w:rsid w:val="00D943C3"/>
    <w:rsid w:val="00DA216F"/>
    <w:rsid w:val="00DA5635"/>
    <w:rsid w:val="00DC3A3A"/>
    <w:rsid w:val="00DE0672"/>
    <w:rsid w:val="00DE6E83"/>
    <w:rsid w:val="00DF2369"/>
    <w:rsid w:val="00E01A56"/>
    <w:rsid w:val="00E03408"/>
    <w:rsid w:val="00E26AFF"/>
    <w:rsid w:val="00E4335C"/>
    <w:rsid w:val="00E44141"/>
    <w:rsid w:val="00E470C8"/>
    <w:rsid w:val="00E94A11"/>
    <w:rsid w:val="00EC70C6"/>
    <w:rsid w:val="00EE1CD2"/>
    <w:rsid w:val="00F26A5F"/>
    <w:rsid w:val="00F33790"/>
    <w:rsid w:val="00F341DE"/>
    <w:rsid w:val="00F51EE9"/>
    <w:rsid w:val="00F54C96"/>
    <w:rsid w:val="00F55900"/>
    <w:rsid w:val="00FA6C5F"/>
    <w:rsid w:val="00FB4C75"/>
    <w:rsid w:val="00FB7960"/>
    <w:rsid w:val="00FC5C9E"/>
    <w:rsid w:val="00FF06C9"/>
    <w:rsid w:val="00FF3D0F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2B5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3B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>ntu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2</cp:revision>
  <cp:lastPrinted>2015-01-27T02:07:00Z</cp:lastPrinted>
  <dcterms:created xsi:type="dcterms:W3CDTF">2023-09-25T08:34:00Z</dcterms:created>
  <dcterms:modified xsi:type="dcterms:W3CDTF">2023-09-25T08:34:00Z</dcterms:modified>
</cp:coreProperties>
</file>