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7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0"/>
        <w:gridCol w:w="1521"/>
        <w:gridCol w:w="1418"/>
        <w:gridCol w:w="2976"/>
        <w:gridCol w:w="3402"/>
      </w:tblGrid>
      <w:tr w:rsidR="00F55900" w:rsidRPr="00F55900" w14:paraId="212A5948" w14:textId="77777777" w:rsidTr="007B442C">
        <w:trPr>
          <w:cantSplit/>
          <w:trHeight w:val="699"/>
        </w:trPr>
        <w:tc>
          <w:tcPr>
            <w:tcW w:w="1470" w:type="dxa"/>
          </w:tcPr>
          <w:p w14:paraId="2F2F06A2" w14:textId="77777777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學生姓名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3A1E3657" w14:textId="3B8A368A" w:rsidR="00F55900" w:rsidRPr="00F55900" w:rsidRDefault="00256433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王</w:t>
            </w:r>
            <w:proofErr w:type="gramStart"/>
            <w:r>
              <w:rPr>
                <w:rFonts w:ascii="標楷體" w:eastAsia="標楷體" w:hint="eastAsia"/>
                <w:b/>
                <w:sz w:val="28"/>
                <w:szCs w:val="28"/>
              </w:rPr>
              <w:t>邑</w:t>
            </w:r>
            <w:proofErr w:type="gramEnd"/>
            <w:r>
              <w:rPr>
                <w:rFonts w:ascii="標楷體" w:eastAsia="標楷體" w:hint="eastAsia"/>
                <w:b/>
                <w:sz w:val="28"/>
                <w:szCs w:val="28"/>
              </w:rPr>
              <w:t>安</w:t>
            </w:r>
          </w:p>
        </w:tc>
        <w:tc>
          <w:tcPr>
            <w:tcW w:w="1418" w:type="dxa"/>
          </w:tcPr>
          <w:p w14:paraId="34177801" w14:textId="77777777" w:rsidR="00F55900" w:rsidRPr="00F55900" w:rsidRDefault="00F55900" w:rsidP="00C37209">
            <w:pPr>
              <w:adjustRightInd w:val="0"/>
              <w:snapToGrid w:val="0"/>
              <w:spacing w:before="120" w:after="120" w:line="180" w:lineRule="atLeast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組別</w:t>
            </w:r>
            <w:r>
              <w:rPr>
                <w:rFonts w:ascii="標楷體" w:eastAsia="標楷體"/>
                <w:b/>
                <w:sz w:val="28"/>
                <w:szCs w:val="28"/>
              </w:rPr>
              <w:br/>
            </w:r>
            <w:r w:rsidRPr="00F55900">
              <w:rPr>
                <w:rFonts w:ascii="標楷體" w:eastAsia="標楷體"/>
                <w:b/>
                <w:sz w:val="28"/>
                <w:szCs w:val="28"/>
              </w:rPr>
              <w:t>(</w:t>
            </w:r>
            <w:proofErr w:type="gramStart"/>
            <w:r w:rsidRPr="00F55900">
              <w:rPr>
                <w:rFonts w:ascii="標楷體" w:eastAsia="標楷體" w:hint="eastAsia"/>
                <w:b/>
                <w:color w:val="FF0000"/>
                <w:sz w:val="28"/>
                <w:szCs w:val="28"/>
              </w:rPr>
              <w:t>必填</w:t>
            </w:r>
            <w:proofErr w:type="gramEnd"/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14:paraId="03639463" w14:textId="0C70D118" w:rsidR="00F55900" w:rsidRPr="00F55900" w:rsidRDefault="00256433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設計組</w:t>
            </w:r>
          </w:p>
        </w:tc>
        <w:tc>
          <w:tcPr>
            <w:tcW w:w="3402" w:type="dxa"/>
          </w:tcPr>
          <w:p w14:paraId="1E403B29" w14:textId="1C2EF055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聽講日期：</w:t>
            </w:r>
            <w:r w:rsidR="00256433">
              <w:rPr>
                <w:rFonts w:ascii="標楷體" w:eastAsia="標楷體" w:hint="eastAsia"/>
                <w:b/>
                <w:sz w:val="28"/>
                <w:szCs w:val="28"/>
              </w:rPr>
              <w:t>2月19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日</w:t>
            </w:r>
          </w:p>
        </w:tc>
      </w:tr>
      <w:tr w:rsidR="00F55900" w:rsidRPr="00F55900" w14:paraId="56F44298" w14:textId="77777777" w:rsidTr="004B6799">
        <w:trPr>
          <w:cantSplit/>
        </w:trPr>
        <w:tc>
          <w:tcPr>
            <w:tcW w:w="1470" w:type="dxa"/>
          </w:tcPr>
          <w:p w14:paraId="70AFDA46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講者姓名</w:t>
            </w:r>
          </w:p>
        </w:tc>
        <w:tc>
          <w:tcPr>
            <w:tcW w:w="1521" w:type="dxa"/>
          </w:tcPr>
          <w:p w14:paraId="25559556" w14:textId="6111592F" w:rsidR="00F55900" w:rsidRPr="00F55900" w:rsidRDefault="00256433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溫偉源</w:t>
            </w:r>
          </w:p>
        </w:tc>
        <w:tc>
          <w:tcPr>
            <w:tcW w:w="1418" w:type="dxa"/>
          </w:tcPr>
          <w:p w14:paraId="5F4EB8EA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講題</w:t>
            </w:r>
          </w:p>
        </w:tc>
        <w:tc>
          <w:tcPr>
            <w:tcW w:w="6378" w:type="dxa"/>
            <w:gridSpan w:val="2"/>
          </w:tcPr>
          <w:p w14:paraId="6A18DD72" w14:textId="592D007D" w:rsidR="00F55900" w:rsidRPr="00F55900" w:rsidRDefault="00256433" w:rsidP="00256433">
            <w:pPr>
              <w:snapToGrid w:val="0"/>
              <w:spacing w:before="120" w:after="120"/>
              <w:ind w:leftChars="50" w:left="120" w:firstLineChars="200" w:firstLine="480"/>
              <w:rPr>
                <w:rFonts w:ascii="標楷體" w:eastAsia="標楷體"/>
                <w:b/>
              </w:rPr>
            </w:pPr>
            <w:r w:rsidRPr="00256433">
              <w:rPr>
                <w:rFonts w:ascii="標楷體" w:eastAsia="標楷體"/>
                <w:b/>
              </w:rPr>
              <w:t>Thermal dissipation in stacked devices</w:t>
            </w:r>
            <w:r w:rsidRPr="00256433">
              <w:rPr>
                <w:rFonts w:ascii="標楷體" w:eastAsia="標楷體"/>
                <w:b/>
              </w:rPr>
              <w:tab/>
            </w:r>
          </w:p>
        </w:tc>
      </w:tr>
      <w:tr w:rsidR="00534E31" w:rsidRPr="00F55900" w14:paraId="79A23C1C" w14:textId="77777777" w:rsidTr="00801303">
        <w:trPr>
          <w:cantSplit/>
          <w:trHeight w:val="13853"/>
        </w:trPr>
        <w:tc>
          <w:tcPr>
            <w:tcW w:w="10787" w:type="dxa"/>
            <w:gridSpan w:val="5"/>
          </w:tcPr>
          <w:p w14:paraId="6264954B" w14:textId="039F1757" w:rsidR="005A4F46" w:rsidRDefault="00256433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 w:rsidRPr="00256433">
              <w:rPr>
                <w:rFonts w:eastAsia="標楷體" w:hint="eastAsia"/>
                <w:sz w:val="28"/>
                <w:szCs w:val="28"/>
              </w:rPr>
              <w:t>重點摘要</w:t>
            </w:r>
            <w:r w:rsidRPr="00256433">
              <w:rPr>
                <w:rFonts w:eastAsia="標楷體" w:hint="eastAsia"/>
                <w:sz w:val="28"/>
                <w:szCs w:val="28"/>
              </w:rPr>
              <w:t>:</w:t>
            </w:r>
          </w:p>
          <w:p w14:paraId="094F1A42" w14:textId="57091530" w:rsidR="00256433" w:rsidRDefault="001163D3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由於晶片越做越小的關係，晶片上應有的</w:t>
            </w:r>
            <w:r w:rsidR="00EF1CB3">
              <w:rPr>
                <w:rFonts w:eastAsia="標楷體" w:hint="eastAsia"/>
                <w:sz w:val="28"/>
                <w:szCs w:val="28"/>
              </w:rPr>
              <w:t>半導體</w:t>
            </w:r>
            <w:r>
              <w:rPr>
                <w:rFonts w:eastAsia="標楷體" w:hint="eastAsia"/>
                <w:sz w:val="28"/>
                <w:szCs w:val="28"/>
              </w:rPr>
              <w:t>元件需要以堆疊的方式一層</w:t>
            </w:r>
            <w:proofErr w:type="gramStart"/>
            <w:r>
              <w:rPr>
                <w:rFonts w:eastAsia="標楷體" w:hint="eastAsia"/>
                <w:sz w:val="28"/>
                <w:szCs w:val="28"/>
              </w:rPr>
              <w:t>一層</w:t>
            </w:r>
            <w:proofErr w:type="gramEnd"/>
            <w:r>
              <w:rPr>
                <w:rFonts w:eastAsia="標楷體" w:hint="eastAsia"/>
                <w:sz w:val="28"/>
                <w:szCs w:val="28"/>
              </w:rPr>
              <w:t>的配置成積體電路，然而，採用堆疊配置的短處便是上層元件的散熱問題。</w:t>
            </w:r>
            <w:r w:rsidR="00D530B0" w:rsidRPr="00D530B0">
              <w:rPr>
                <w:rFonts w:eastAsia="標楷體" w:hint="eastAsia"/>
                <w:sz w:val="28"/>
                <w:szCs w:val="28"/>
              </w:rPr>
              <w:t>不僅如此，晶片內填充於</w:t>
            </w:r>
            <w:proofErr w:type="gramStart"/>
            <w:r w:rsidR="00D530B0" w:rsidRPr="00D530B0">
              <w:rPr>
                <w:rFonts w:eastAsia="標楷體" w:hint="eastAsia"/>
                <w:sz w:val="28"/>
                <w:szCs w:val="28"/>
              </w:rPr>
              <w:t>電路間的介質</w:t>
            </w:r>
            <w:proofErr w:type="gramEnd"/>
            <w:r w:rsidR="00D530B0" w:rsidRPr="00D530B0">
              <w:rPr>
                <w:rFonts w:eastAsia="標楷體" w:hint="eastAsia"/>
                <w:sz w:val="28"/>
                <w:szCs w:val="28"/>
              </w:rPr>
              <w:t>由於要降低電容而充滿孔洞，也會對</w:t>
            </w:r>
            <w:r w:rsidR="00EF1CB3">
              <w:rPr>
                <w:rFonts w:eastAsia="標楷體" w:hint="eastAsia"/>
                <w:sz w:val="28"/>
                <w:szCs w:val="28"/>
              </w:rPr>
              <w:t>半導體</w:t>
            </w:r>
            <w:r w:rsidR="00D530B0" w:rsidRPr="00D530B0">
              <w:rPr>
                <w:rFonts w:eastAsia="標楷體" w:hint="eastAsia"/>
                <w:sz w:val="28"/>
                <w:szCs w:val="28"/>
              </w:rPr>
              <w:t>元件的散熱造成影響。</w:t>
            </w:r>
            <w:r>
              <w:rPr>
                <w:rFonts w:eastAsia="標楷體" w:hint="eastAsia"/>
                <w:sz w:val="28"/>
                <w:szCs w:val="28"/>
              </w:rPr>
              <w:t>因此，在晶片的設計上，除了須將上層元件的熱導引至下層外，層</w:t>
            </w:r>
            <w:r>
              <w:rPr>
                <w:rFonts w:eastAsia="標楷體" w:hint="eastAsia"/>
                <w:sz w:val="28"/>
                <w:szCs w:val="28"/>
              </w:rPr>
              <w:t>(</w:t>
            </w:r>
            <w:r>
              <w:rPr>
                <w:rFonts w:eastAsia="標楷體"/>
                <w:sz w:val="28"/>
                <w:szCs w:val="28"/>
              </w:rPr>
              <w:t>Die</w:t>
            </w:r>
            <w:r>
              <w:rPr>
                <w:rFonts w:eastAsia="標楷體" w:hint="eastAsia"/>
                <w:sz w:val="28"/>
                <w:szCs w:val="28"/>
              </w:rPr>
              <w:t>)</w:t>
            </w:r>
            <w:r>
              <w:rPr>
                <w:rFonts w:eastAsia="標楷體" w:hint="eastAsia"/>
                <w:sz w:val="28"/>
                <w:szCs w:val="28"/>
              </w:rPr>
              <w:t>與層中間的</w:t>
            </w:r>
            <w:r w:rsidR="00D530B0">
              <w:rPr>
                <w:rFonts w:eastAsia="標楷體" w:hint="eastAsia"/>
                <w:sz w:val="28"/>
                <w:szCs w:val="28"/>
              </w:rPr>
              <w:t>b</w:t>
            </w:r>
            <w:r w:rsidR="00D530B0">
              <w:rPr>
                <w:rFonts w:eastAsia="標楷體"/>
                <w:sz w:val="28"/>
                <w:szCs w:val="28"/>
              </w:rPr>
              <w:t>onding layer</w:t>
            </w:r>
            <w:r w:rsidR="00D530B0">
              <w:rPr>
                <w:rFonts w:eastAsia="標楷體" w:hint="eastAsia"/>
                <w:sz w:val="28"/>
                <w:szCs w:val="28"/>
              </w:rPr>
              <w:t>也須盡量採用高導熱係數的非導體材料，才能將熱分散掉。</w:t>
            </w:r>
          </w:p>
          <w:p w14:paraId="6E060174" w14:textId="7A04C7DB" w:rsidR="00810A7D" w:rsidRDefault="00810A7D" w:rsidP="00810A7D">
            <w:pPr>
              <w:snapToGrid w:val="0"/>
              <w:spacing w:beforeLines="50" w:before="18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挑選適合晶片</w:t>
            </w:r>
            <w:r>
              <w:rPr>
                <w:rFonts w:eastAsia="標楷體" w:hint="eastAsia"/>
                <w:sz w:val="28"/>
                <w:szCs w:val="28"/>
              </w:rPr>
              <w:t>b</w:t>
            </w:r>
            <w:r>
              <w:rPr>
                <w:rFonts w:eastAsia="標楷體"/>
                <w:sz w:val="28"/>
                <w:szCs w:val="28"/>
              </w:rPr>
              <w:t>onding layer</w:t>
            </w:r>
            <w:r>
              <w:rPr>
                <w:rFonts w:eastAsia="標楷體" w:hint="eastAsia"/>
                <w:sz w:val="28"/>
                <w:szCs w:val="28"/>
              </w:rPr>
              <w:t>的</w:t>
            </w:r>
            <w:r w:rsidR="00D530B0" w:rsidRPr="00D530B0">
              <w:rPr>
                <w:rFonts w:eastAsia="標楷體" w:hint="eastAsia"/>
                <w:sz w:val="28"/>
                <w:szCs w:val="28"/>
              </w:rPr>
              <w:t>高</w:t>
            </w:r>
            <w:r w:rsidR="00271AB8">
              <w:rPr>
                <w:rFonts w:eastAsia="標楷體" w:hint="eastAsia"/>
                <w:sz w:val="28"/>
                <w:szCs w:val="28"/>
              </w:rPr>
              <w:t>熱導率</w:t>
            </w:r>
            <w:r w:rsidR="00D530B0" w:rsidRPr="00D530B0">
              <w:rPr>
                <w:rFonts w:eastAsia="標楷體" w:hint="eastAsia"/>
                <w:sz w:val="28"/>
                <w:szCs w:val="28"/>
              </w:rPr>
              <w:t>的材料</w:t>
            </w:r>
            <w:r w:rsidR="00D530B0">
              <w:rPr>
                <w:rFonts w:eastAsia="標楷體" w:hint="eastAsia"/>
                <w:sz w:val="28"/>
                <w:szCs w:val="28"/>
              </w:rPr>
              <w:t>基本上有四原則</w:t>
            </w:r>
            <w:r>
              <w:rPr>
                <w:rFonts w:eastAsia="標楷體" w:hint="eastAsia"/>
                <w:sz w:val="28"/>
                <w:szCs w:val="28"/>
              </w:rPr>
              <w:t>:</w:t>
            </w:r>
            <w:r>
              <w:rPr>
                <w:rFonts w:eastAsia="標楷體" w:hint="eastAsia"/>
                <w:sz w:val="28"/>
                <w:szCs w:val="28"/>
              </w:rPr>
              <w:t>有強力的</w:t>
            </w:r>
            <w:proofErr w:type="gramStart"/>
            <w:r>
              <w:rPr>
                <w:rFonts w:eastAsia="標楷體" w:hint="eastAsia"/>
                <w:sz w:val="28"/>
                <w:szCs w:val="28"/>
              </w:rPr>
              <w:t>鍵結且原子量</w:t>
            </w:r>
            <w:proofErr w:type="gramEnd"/>
            <w:r>
              <w:rPr>
                <w:rFonts w:eastAsia="標楷體" w:hint="eastAsia"/>
                <w:sz w:val="28"/>
                <w:szCs w:val="28"/>
              </w:rPr>
              <w:t>輕的元素</w:t>
            </w:r>
            <w:r>
              <w:rPr>
                <w:rFonts w:eastAsia="標楷體" w:hint="eastAsia"/>
                <w:sz w:val="28"/>
                <w:szCs w:val="28"/>
              </w:rPr>
              <w:t>(</w:t>
            </w:r>
            <w:r w:rsidR="007810EF">
              <w:rPr>
                <w:rFonts w:eastAsia="標楷體" w:hint="eastAsia"/>
                <w:sz w:val="28"/>
                <w:szCs w:val="28"/>
              </w:rPr>
              <w:t>提高</w:t>
            </w:r>
            <w:r>
              <w:rPr>
                <w:rFonts w:eastAsia="標楷體" w:hint="eastAsia"/>
                <w:sz w:val="28"/>
                <w:szCs w:val="28"/>
              </w:rPr>
              <w:t>熱傳</w:t>
            </w:r>
            <w:r>
              <w:rPr>
                <w:rFonts w:eastAsia="標楷體" w:hint="eastAsia"/>
                <w:sz w:val="28"/>
                <w:szCs w:val="28"/>
              </w:rPr>
              <w:t>)</w:t>
            </w:r>
            <w:r>
              <w:rPr>
                <w:rFonts w:eastAsia="標楷體" w:hint="eastAsia"/>
                <w:sz w:val="28"/>
                <w:szCs w:val="28"/>
              </w:rPr>
              <w:t>、分子排列</w:t>
            </w:r>
            <w:proofErr w:type="gramStart"/>
            <w:r w:rsidR="007810EF">
              <w:rPr>
                <w:rFonts w:eastAsia="標楷體" w:hint="eastAsia"/>
                <w:sz w:val="28"/>
                <w:szCs w:val="28"/>
              </w:rPr>
              <w:t>成晶格</w:t>
            </w:r>
            <w:proofErr w:type="gramEnd"/>
            <w:r w:rsidR="007810EF">
              <w:rPr>
                <w:rFonts w:eastAsia="標楷體" w:hint="eastAsia"/>
                <w:sz w:val="28"/>
                <w:szCs w:val="28"/>
              </w:rPr>
              <w:t>狀</w:t>
            </w:r>
            <w:r w:rsidR="007810EF">
              <w:rPr>
                <w:rFonts w:eastAsia="標楷體" w:hint="eastAsia"/>
                <w:sz w:val="28"/>
                <w:szCs w:val="28"/>
              </w:rPr>
              <w:t>(</w:t>
            </w:r>
            <w:r w:rsidR="007810EF">
              <w:rPr>
                <w:rFonts w:eastAsia="標楷體" w:hint="eastAsia"/>
                <w:sz w:val="28"/>
                <w:szCs w:val="28"/>
              </w:rPr>
              <w:t>提高熱傳</w:t>
            </w:r>
            <w:r w:rsidR="007810EF">
              <w:rPr>
                <w:rFonts w:eastAsia="標楷體" w:hint="eastAsia"/>
                <w:sz w:val="28"/>
                <w:szCs w:val="28"/>
              </w:rPr>
              <w:t>)</w:t>
            </w:r>
            <w:r w:rsidR="007810EF">
              <w:rPr>
                <w:rFonts w:eastAsia="標楷體" w:hint="eastAsia"/>
                <w:sz w:val="28"/>
                <w:szCs w:val="28"/>
              </w:rPr>
              <w:t>、</w:t>
            </w:r>
            <w:r w:rsidR="007810EF">
              <w:rPr>
                <w:rFonts w:eastAsia="標楷體" w:hint="eastAsia"/>
                <w:sz w:val="28"/>
                <w:szCs w:val="28"/>
              </w:rPr>
              <w:t>f</w:t>
            </w:r>
            <w:r w:rsidR="007810EF">
              <w:rPr>
                <w:rFonts w:eastAsia="標楷體"/>
                <w:sz w:val="28"/>
                <w:szCs w:val="28"/>
              </w:rPr>
              <w:t>ilm</w:t>
            </w:r>
            <w:r w:rsidR="007810EF">
              <w:rPr>
                <w:rFonts w:eastAsia="標楷體" w:hint="eastAsia"/>
                <w:sz w:val="28"/>
                <w:szCs w:val="28"/>
              </w:rPr>
              <w:t>厚度</w:t>
            </w:r>
            <w:proofErr w:type="gramStart"/>
            <w:r w:rsidR="007810EF">
              <w:rPr>
                <w:rFonts w:eastAsia="標楷體" w:hint="eastAsia"/>
                <w:sz w:val="28"/>
                <w:szCs w:val="28"/>
              </w:rPr>
              <w:t>大於聲子的</w:t>
            </w:r>
            <w:proofErr w:type="gramEnd"/>
            <w:r w:rsidR="007810EF">
              <w:rPr>
                <w:rFonts w:eastAsia="標楷體" w:hint="eastAsia"/>
                <w:sz w:val="28"/>
                <w:szCs w:val="28"/>
              </w:rPr>
              <w:t>自由行程、</w:t>
            </w:r>
            <w:proofErr w:type="gramStart"/>
            <w:r w:rsidR="007810EF">
              <w:rPr>
                <w:rFonts w:eastAsia="標楷體" w:hint="eastAsia"/>
                <w:sz w:val="28"/>
                <w:szCs w:val="28"/>
              </w:rPr>
              <w:t>沉</w:t>
            </w:r>
            <w:proofErr w:type="gramEnd"/>
            <w:r w:rsidR="007810EF">
              <w:rPr>
                <w:rFonts w:eastAsia="標楷體" w:hint="eastAsia"/>
                <w:sz w:val="28"/>
                <w:szCs w:val="28"/>
              </w:rPr>
              <w:t>積溫度應低於後段製程</w:t>
            </w:r>
            <w:r w:rsidR="007810EF">
              <w:rPr>
                <w:rFonts w:eastAsia="標楷體" w:hint="eastAsia"/>
                <w:sz w:val="28"/>
                <w:szCs w:val="28"/>
              </w:rPr>
              <w:t>(</w:t>
            </w:r>
            <w:r w:rsidR="007810EF">
              <w:rPr>
                <w:rFonts w:eastAsia="標楷體" w:hint="eastAsia"/>
                <w:sz w:val="28"/>
                <w:szCs w:val="28"/>
              </w:rPr>
              <w:t>約</w:t>
            </w:r>
            <w:r w:rsidR="007810EF">
              <w:rPr>
                <w:rFonts w:eastAsia="標楷體" w:hint="eastAsia"/>
                <w:sz w:val="28"/>
                <w:szCs w:val="28"/>
              </w:rPr>
              <w:t>400</w:t>
            </w:r>
            <w:r w:rsidR="007810EF" w:rsidRPr="00271AB8">
              <w:rPr>
                <w:rFonts w:ascii="新細明體" w:hAnsi="新細明體" w:cs="新細明體" w:hint="eastAsia"/>
                <w:sz w:val="28"/>
                <w:szCs w:val="28"/>
              </w:rPr>
              <w:t>∘</w:t>
            </w:r>
            <w:r w:rsidR="007810EF" w:rsidRPr="00271AB8">
              <w:rPr>
                <w:rFonts w:eastAsia="標楷體"/>
                <w:sz w:val="28"/>
                <w:szCs w:val="28"/>
              </w:rPr>
              <w:t>C</w:t>
            </w:r>
            <w:r w:rsidR="007810EF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  <w:p w14:paraId="0CFE428A" w14:textId="70436719" w:rsidR="007810EF" w:rsidRDefault="007810EF" w:rsidP="00810A7D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氮化鋁(</w:t>
            </w:r>
            <w:r w:rsidRPr="00271AB8">
              <w:rPr>
                <w:rFonts w:eastAsia="標楷體"/>
                <w:sz w:val="28"/>
                <w:szCs w:val="28"/>
              </w:rPr>
              <w:t>AIN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)是一種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寬</w:t>
            </w:r>
            <w:r w:rsidR="00271AB8">
              <w:rPr>
                <w:rFonts w:ascii="標楷體" w:eastAsia="標楷體" w:hAnsi="標楷體" w:hint="eastAsia"/>
                <w:sz w:val="28"/>
                <w:szCs w:val="28"/>
              </w:rPr>
              <w:t>帶隙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的</w:t>
            </w:r>
            <w:proofErr w:type="gramEnd"/>
            <w:r w:rsidR="00271AB8">
              <w:rPr>
                <w:rFonts w:ascii="標楷體" w:eastAsia="標楷體" w:hAnsi="標楷體" w:hint="eastAsia"/>
                <w:sz w:val="28"/>
                <w:szCs w:val="28"/>
              </w:rPr>
              <w:t>半導體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材料</w:t>
            </w:r>
            <w:r w:rsidR="00271AB8">
              <w:rPr>
                <w:rFonts w:ascii="標楷體" w:eastAsia="標楷體" w:hAnsi="標楷體" w:hint="eastAsia"/>
                <w:sz w:val="28"/>
                <w:szCs w:val="28"/>
              </w:rPr>
              <w:t>，由於符合上述的原則，適合當作</w:t>
            </w:r>
            <w:r w:rsidR="00271AB8" w:rsidRPr="00271AB8">
              <w:rPr>
                <w:rFonts w:eastAsia="標楷體"/>
                <w:sz w:val="28"/>
                <w:szCs w:val="28"/>
              </w:rPr>
              <w:t>bonding</w:t>
            </w:r>
            <w:r w:rsidR="00271AB8">
              <w:rPr>
                <w:rFonts w:eastAsia="標楷體"/>
                <w:sz w:val="28"/>
                <w:szCs w:val="28"/>
              </w:rPr>
              <w:t xml:space="preserve"> </w:t>
            </w:r>
            <w:r w:rsidR="00271AB8" w:rsidRPr="00271AB8">
              <w:rPr>
                <w:rFonts w:eastAsia="標楷體"/>
                <w:sz w:val="28"/>
                <w:szCs w:val="28"/>
              </w:rPr>
              <w:t>layer</w:t>
            </w:r>
            <w:r w:rsidR="00271AB8">
              <w:rPr>
                <w:rFonts w:eastAsia="標楷體" w:hint="eastAsia"/>
                <w:sz w:val="28"/>
                <w:szCs w:val="28"/>
              </w:rPr>
              <w:t>。然而，</w:t>
            </w:r>
            <w:r w:rsidR="00271AB8">
              <w:rPr>
                <w:rFonts w:eastAsia="標楷體" w:hint="eastAsia"/>
                <w:sz w:val="28"/>
                <w:szCs w:val="28"/>
              </w:rPr>
              <w:t>AIN</w:t>
            </w:r>
            <w:r w:rsidR="00271AB8">
              <w:rPr>
                <w:rFonts w:eastAsia="標楷體" w:hint="eastAsia"/>
                <w:sz w:val="28"/>
                <w:szCs w:val="28"/>
              </w:rPr>
              <w:t>的熱導率會</w:t>
            </w:r>
            <w:proofErr w:type="gramStart"/>
            <w:r w:rsidR="00271AB8">
              <w:rPr>
                <w:rFonts w:eastAsia="標楷體" w:hint="eastAsia"/>
                <w:sz w:val="28"/>
                <w:szCs w:val="28"/>
              </w:rPr>
              <w:t>隨著晶格</w:t>
            </w:r>
            <w:proofErr w:type="gramEnd"/>
            <w:r w:rsidR="00271AB8">
              <w:rPr>
                <w:rFonts w:eastAsia="標楷體" w:hint="eastAsia"/>
                <w:sz w:val="28"/>
                <w:szCs w:val="28"/>
              </w:rPr>
              <w:t>缺陷的數量增加而有顯著的下降。而新的</w:t>
            </w:r>
            <w:r w:rsidR="00CE14F6">
              <w:rPr>
                <w:rFonts w:eastAsia="標楷體" w:hint="eastAsia"/>
                <w:sz w:val="28"/>
                <w:szCs w:val="28"/>
              </w:rPr>
              <w:t>方案，則是使用人工長晶的鑽石來做為</w:t>
            </w:r>
            <w:r w:rsidR="00CE14F6">
              <w:rPr>
                <w:rFonts w:eastAsia="標楷體" w:hint="eastAsia"/>
                <w:sz w:val="28"/>
                <w:szCs w:val="28"/>
              </w:rPr>
              <w:t>b</w:t>
            </w:r>
            <w:r w:rsidR="00CE14F6">
              <w:rPr>
                <w:rFonts w:eastAsia="標楷體"/>
                <w:sz w:val="28"/>
                <w:szCs w:val="28"/>
              </w:rPr>
              <w:t>onding layer</w:t>
            </w:r>
            <w:r w:rsidR="00CE14F6">
              <w:rPr>
                <w:rFonts w:eastAsia="標楷體" w:hint="eastAsia"/>
                <w:sz w:val="28"/>
                <w:szCs w:val="28"/>
              </w:rPr>
              <w:t>。研究顯示，形成</w:t>
            </w:r>
            <w:proofErr w:type="gramStart"/>
            <w:r w:rsidR="00CE14F6">
              <w:rPr>
                <w:rFonts w:eastAsia="標楷體" w:hint="eastAsia"/>
                <w:sz w:val="28"/>
                <w:szCs w:val="28"/>
              </w:rPr>
              <w:t>鑽石晶格的</w:t>
            </w:r>
            <w:proofErr w:type="gramEnd"/>
            <w:r w:rsidR="00CE14F6">
              <w:rPr>
                <w:rFonts w:eastAsia="標楷體" w:hint="eastAsia"/>
                <w:sz w:val="28"/>
                <w:szCs w:val="28"/>
              </w:rPr>
              <w:t>過程中，在低溫</w:t>
            </w:r>
            <w:r w:rsidR="00CE14F6" w:rsidRPr="00CE14F6">
              <w:rPr>
                <w:rFonts w:eastAsia="標楷體"/>
                <w:sz w:val="28"/>
                <w:szCs w:val="28"/>
              </w:rPr>
              <w:t>400</w:t>
            </w:r>
            <w:r w:rsidR="00CE14F6" w:rsidRPr="00CE14F6">
              <w:rPr>
                <w:rFonts w:eastAsia="標楷體" w:hint="eastAsia"/>
                <w:sz w:val="28"/>
                <w:szCs w:val="28"/>
              </w:rPr>
              <w:t>∘</w:t>
            </w:r>
            <w:r w:rsidR="00CE14F6" w:rsidRPr="00CE14F6">
              <w:rPr>
                <w:rFonts w:eastAsia="標楷體"/>
                <w:sz w:val="28"/>
                <w:szCs w:val="28"/>
              </w:rPr>
              <w:t>C</w:t>
            </w:r>
            <w:r w:rsidR="00CE14F6">
              <w:rPr>
                <w:rFonts w:eastAsia="標楷體" w:hint="eastAsia"/>
                <w:sz w:val="28"/>
                <w:szCs w:val="28"/>
              </w:rPr>
              <w:t>下，</w:t>
            </w:r>
            <w:proofErr w:type="gramStart"/>
            <w:r w:rsidR="00CE14F6">
              <w:rPr>
                <w:rFonts w:eastAsia="標楷體" w:hint="eastAsia"/>
                <w:sz w:val="28"/>
                <w:szCs w:val="28"/>
              </w:rPr>
              <w:t>通入些微</w:t>
            </w:r>
            <w:proofErr w:type="gramEnd"/>
            <w:r w:rsidR="00CE14F6">
              <w:rPr>
                <w:rFonts w:eastAsia="標楷體" w:hint="eastAsia"/>
                <w:sz w:val="28"/>
                <w:szCs w:val="28"/>
              </w:rPr>
              <w:t>的氧氣，可以形成較為大顆的鑽石晶體</w:t>
            </w:r>
            <w:r w:rsidR="00345045">
              <w:rPr>
                <w:rFonts w:eastAsia="標楷體" w:hint="eastAsia"/>
                <w:sz w:val="28"/>
                <w:szCs w:val="28"/>
              </w:rPr>
              <w:t>，使每單位體積的缺陷量降低，讓鑽石層的熱導率無論是縱向或是橫向都得到提升。</w:t>
            </w:r>
          </w:p>
          <w:p w14:paraId="64D71A3F" w14:textId="6C9C8155" w:rsidR="00345045" w:rsidRPr="007A062A" w:rsidRDefault="00345045" w:rsidP="00810A7D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為了迎合半導體業的需求，台積電制定出一套測量鑽石薄膜的熱導率之方</w:t>
            </w:r>
            <w:r w:rsidR="007A062A">
              <w:rPr>
                <w:rFonts w:eastAsia="標楷體" w:hint="eastAsia"/>
                <w:sz w:val="28"/>
                <w:szCs w:val="28"/>
              </w:rPr>
              <w:t>法</w:t>
            </w:r>
            <w:r>
              <w:rPr>
                <w:rFonts w:eastAsia="標楷體" w:hint="eastAsia"/>
                <w:sz w:val="28"/>
                <w:szCs w:val="28"/>
              </w:rPr>
              <w:t>。</w:t>
            </w:r>
            <w:r w:rsidR="007A062A">
              <w:rPr>
                <w:rFonts w:eastAsia="標楷體" w:hint="eastAsia"/>
                <w:sz w:val="28"/>
                <w:szCs w:val="28"/>
              </w:rPr>
              <w:t>這套方法使用了</w:t>
            </w:r>
            <w:r w:rsidR="007A062A">
              <w:rPr>
                <w:rFonts w:eastAsia="標楷體" w:hint="eastAsia"/>
                <w:sz w:val="28"/>
                <w:szCs w:val="28"/>
              </w:rPr>
              <w:t>L</w:t>
            </w:r>
            <w:r w:rsidR="007A062A">
              <w:rPr>
                <w:rFonts w:eastAsia="標楷體"/>
                <w:sz w:val="28"/>
                <w:szCs w:val="28"/>
              </w:rPr>
              <w:t xml:space="preserve">on </w:t>
            </w:r>
            <w:r w:rsidR="007A062A">
              <w:rPr>
                <w:rFonts w:eastAsia="標楷體" w:hint="eastAsia"/>
                <w:sz w:val="28"/>
                <w:szCs w:val="28"/>
              </w:rPr>
              <w:t>M</w:t>
            </w:r>
            <w:r w:rsidR="007A062A">
              <w:rPr>
                <w:rFonts w:eastAsia="標楷體"/>
                <w:sz w:val="28"/>
                <w:szCs w:val="28"/>
              </w:rPr>
              <w:t xml:space="preserve">illing </w:t>
            </w:r>
            <w:proofErr w:type="gramStart"/>
            <w:r w:rsidR="007A062A">
              <w:rPr>
                <w:rFonts w:eastAsia="標楷體" w:hint="eastAsia"/>
                <w:sz w:val="28"/>
                <w:szCs w:val="28"/>
              </w:rPr>
              <w:t>和類</w:t>
            </w:r>
            <w:proofErr w:type="gramEnd"/>
            <w:r w:rsidR="007A062A">
              <w:rPr>
                <w:rFonts w:eastAsia="標楷體" w:hint="eastAsia"/>
                <w:sz w:val="28"/>
                <w:szCs w:val="28"/>
              </w:rPr>
              <w:t xml:space="preserve">MEMS </w:t>
            </w:r>
            <w:r w:rsidR="007A062A">
              <w:rPr>
                <w:rFonts w:eastAsia="標楷體" w:hint="eastAsia"/>
                <w:sz w:val="28"/>
                <w:szCs w:val="28"/>
              </w:rPr>
              <w:t>來確保</w:t>
            </w:r>
            <w:proofErr w:type="gramStart"/>
            <w:r w:rsidR="007A062A">
              <w:rPr>
                <w:rFonts w:eastAsia="標楷體" w:hint="eastAsia"/>
                <w:sz w:val="28"/>
                <w:szCs w:val="28"/>
              </w:rPr>
              <w:t>熱導</w:t>
            </w:r>
            <w:r w:rsidR="007A062A">
              <w:rPr>
                <w:rFonts w:eastAsia="標楷體" w:hint="eastAsia"/>
                <w:sz w:val="28"/>
                <w:szCs w:val="28"/>
              </w:rPr>
              <w:t>(</w:t>
            </w:r>
            <w:proofErr w:type="gramEnd"/>
            <w:r w:rsidR="007A062A">
              <w:rPr>
                <w:rFonts w:ascii="標楷體" w:eastAsia="標楷體" w:hAnsi="標楷體" w:hint="eastAsia"/>
                <w:sz w:val="28"/>
                <w:szCs w:val="28"/>
              </w:rPr>
              <w:t>κ)的量測能夠被實現。結果顯示鑽石薄膜</w:t>
            </w:r>
            <w:proofErr w:type="gramStart"/>
            <w:r w:rsidR="007A062A">
              <w:rPr>
                <w:rFonts w:ascii="標楷體" w:eastAsia="標楷體" w:hAnsi="標楷體" w:hint="eastAsia"/>
                <w:sz w:val="28"/>
                <w:szCs w:val="28"/>
              </w:rPr>
              <w:t>的熱導可以</w:t>
            </w:r>
            <w:proofErr w:type="gramEnd"/>
            <w:r w:rsidR="007A062A">
              <w:rPr>
                <w:rFonts w:ascii="標楷體" w:eastAsia="標楷體" w:hAnsi="標楷體" w:hint="eastAsia"/>
                <w:sz w:val="28"/>
                <w:szCs w:val="28"/>
              </w:rPr>
              <w:t>達到大於</w:t>
            </w:r>
            <w:r w:rsidR="007A062A" w:rsidRPr="007A062A">
              <w:rPr>
                <w:rFonts w:eastAsia="標楷體"/>
                <w:sz w:val="28"/>
                <w:szCs w:val="28"/>
              </w:rPr>
              <w:t>500W/</w:t>
            </w:r>
            <w:proofErr w:type="spellStart"/>
            <w:r w:rsidR="007A062A" w:rsidRPr="007A062A">
              <w:rPr>
                <w:rFonts w:eastAsia="標楷體"/>
                <w:sz w:val="28"/>
                <w:szCs w:val="28"/>
              </w:rPr>
              <w:t>mK</w:t>
            </w:r>
            <w:proofErr w:type="spellEnd"/>
            <w:r w:rsidR="007A062A">
              <w:rPr>
                <w:rFonts w:ascii="標楷體" w:eastAsia="標楷體" w:hAnsi="標楷體" w:hint="eastAsia"/>
                <w:sz w:val="28"/>
                <w:szCs w:val="28"/>
              </w:rPr>
              <w:t>，是良好的</w:t>
            </w:r>
            <w:r w:rsidR="007A062A" w:rsidRPr="007A062A">
              <w:rPr>
                <w:rFonts w:eastAsia="標楷體"/>
                <w:sz w:val="28"/>
                <w:szCs w:val="28"/>
              </w:rPr>
              <w:t>bonding layer</w:t>
            </w:r>
            <w:r w:rsidR="007A062A">
              <w:rPr>
                <w:rFonts w:ascii="標楷體" w:eastAsia="標楷體" w:hAnsi="標楷體" w:hint="eastAsia"/>
                <w:sz w:val="28"/>
                <w:szCs w:val="28"/>
              </w:rPr>
              <w:t>材料。</w:t>
            </w:r>
          </w:p>
          <w:p w14:paraId="46E7FB75" w14:textId="69BB68DE" w:rsidR="00256433" w:rsidRDefault="00256433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proofErr w:type="gramStart"/>
            <w:r w:rsidRPr="00256433">
              <w:rPr>
                <w:rFonts w:eastAsia="標楷體" w:hint="eastAsia"/>
                <w:sz w:val="28"/>
                <w:szCs w:val="28"/>
              </w:rPr>
              <w:t>評析或討論</w:t>
            </w:r>
            <w:proofErr w:type="gramEnd"/>
            <w:r w:rsidRPr="00256433">
              <w:rPr>
                <w:rFonts w:eastAsia="標楷體" w:hint="eastAsia"/>
                <w:sz w:val="28"/>
                <w:szCs w:val="28"/>
              </w:rPr>
              <w:t>:</w:t>
            </w:r>
          </w:p>
          <w:p w14:paraId="55B2F22D" w14:textId="0F138B59" w:rsidR="00EF1CB3" w:rsidRDefault="00EF1CB3" w:rsidP="00256433">
            <w:pPr>
              <w:snapToGrid w:val="0"/>
              <w:spacing w:beforeLines="50" w:before="180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散熱對於半導體元件至關重要</w:t>
            </w:r>
            <w:r w:rsidR="00EE255D">
              <w:rPr>
                <w:rFonts w:eastAsia="標楷體" w:hint="eastAsia"/>
                <w:sz w:val="28"/>
                <w:szCs w:val="28"/>
              </w:rPr>
              <w:t>。</w:t>
            </w:r>
            <w:r>
              <w:rPr>
                <w:rFonts w:eastAsia="標楷體" w:hint="eastAsia"/>
                <w:sz w:val="28"/>
                <w:szCs w:val="28"/>
              </w:rPr>
              <w:t>溫博士有提到，</w:t>
            </w:r>
            <w:proofErr w:type="gramStart"/>
            <w:r>
              <w:rPr>
                <w:rFonts w:eastAsia="標楷體" w:hint="eastAsia"/>
                <w:sz w:val="28"/>
                <w:szCs w:val="28"/>
              </w:rPr>
              <w:t>同一塊</w:t>
            </w:r>
            <w:proofErr w:type="gramEnd"/>
            <w:r>
              <w:rPr>
                <w:rFonts w:eastAsia="標楷體" w:hint="eastAsia"/>
                <w:sz w:val="28"/>
                <w:szCs w:val="28"/>
              </w:rPr>
              <w:t>IC</w:t>
            </w:r>
            <w:r>
              <w:rPr>
                <w:rFonts w:eastAsia="標楷體" w:hint="eastAsia"/>
                <w:sz w:val="28"/>
                <w:szCs w:val="28"/>
              </w:rPr>
              <w:t>上，各個元件的工作溫度都有差異，有的如元件如</w:t>
            </w:r>
            <w:r w:rsidR="00EE255D">
              <w:rPr>
                <w:rFonts w:eastAsia="標楷體" w:hint="eastAsia"/>
                <w:sz w:val="28"/>
                <w:szCs w:val="28"/>
              </w:rPr>
              <w:t>通訊用零件的工作溫度達</w:t>
            </w:r>
            <w:r w:rsidR="00EE255D">
              <w:rPr>
                <w:rFonts w:eastAsia="標楷體" w:hint="eastAsia"/>
                <w:sz w:val="28"/>
                <w:szCs w:val="28"/>
              </w:rPr>
              <w:t>200</w:t>
            </w:r>
            <w:r w:rsidR="00EE255D" w:rsidRPr="00EE255D">
              <w:rPr>
                <w:rFonts w:ascii="新細明體" w:hAnsi="新細明體" w:cs="新細明體" w:hint="eastAsia"/>
                <w:sz w:val="28"/>
                <w:szCs w:val="28"/>
              </w:rPr>
              <w:t>∘</w:t>
            </w:r>
            <w:r w:rsidR="00EE255D">
              <w:rPr>
                <w:rFonts w:eastAsia="標楷體" w:hint="eastAsia"/>
                <w:sz w:val="28"/>
                <w:szCs w:val="28"/>
              </w:rPr>
              <w:t>C</w:t>
            </w:r>
            <w:r w:rsidR="00EE255D">
              <w:rPr>
                <w:rFonts w:eastAsia="標楷體" w:hint="eastAsia"/>
                <w:sz w:val="28"/>
                <w:szCs w:val="28"/>
              </w:rPr>
              <w:t>，而有的元件如</w:t>
            </w:r>
            <w:r>
              <w:rPr>
                <w:rFonts w:eastAsia="標楷體" w:hint="eastAsia"/>
                <w:sz w:val="28"/>
                <w:szCs w:val="28"/>
              </w:rPr>
              <w:t>邏輯閘，</w:t>
            </w:r>
            <w:r w:rsidR="00EE255D">
              <w:rPr>
                <w:rFonts w:eastAsia="標楷體" w:hint="eastAsia"/>
                <w:sz w:val="28"/>
                <w:szCs w:val="28"/>
              </w:rPr>
              <w:t>超過</w:t>
            </w:r>
            <w:r w:rsidR="00EE255D">
              <w:rPr>
                <w:rFonts w:eastAsia="標楷體" w:hint="eastAsia"/>
                <w:sz w:val="28"/>
                <w:szCs w:val="28"/>
              </w:rPr>
              <w:t>50</w:t>
            </w:r>
            <w:r w:rsidR="00EE255D" w:rsidRPr="00EE255D">
              <w:rPr>
                <w:rFonts w:eastAsia="標楷體" w:hint="eastAsia"/>
                <w:sz w:val="28"/>
                <w:szCs w:val="28"/>
              </w:rPr>
              <w:t>∘</w:t>
            </w:r>
            <w:r w:rsidR="00EE255D" w:rsidRPr="00EE255D">
              <w:rPr>
                <w:rFonts w:eastAsia="標楷體"/>
                <w:sz w:val="28"/>
                <w:szCs w:val="28"/>
              </w:rPr>
              <w:t>C</w:t>
            </w:r>
            <w:r w:rsidR="00EE255D">
              <w:rPr>
                <w:rFonts w:eastAsia="標楷體" w:hint="eastAsia"/>
                <w:sz w:val="28"/>
                <w:szCs w:val="28"/>
              </w:rPr>
              <w:t>便會降低運作效能。當這些零零總</w:t>
            </w:r>
            <w:proofErr w:type="gramStart"/>
            <w:r w:rsidR="00EE255D">
              <w:rPr>
                <w:rFonts w:eastAsia="標楷體" w:hint="eastAsia"/>
                <w:sz w:val="28"/>
                <w:szCs w:val="28"/>
              </w:rPr>
              <w:t>總</w:t>
            </w:r>
            <w:proofErr w:type="gramEnd"/>
            <w:r w:rsidR="00EE255D">
              <w:rPr>
                <w:rFonts w:eastAsia="標楷體" w:hint="eastAsia"/>
                <w:sz w:val="28"/>
                <w:szCs w:val="28"/>
              </w:rPr>
              <w:t>的半導體元件都</w:t>
            </w:r>
            <w:r w:rsidR="00EA101B">
              <w:rPr>
                <w:rFonts w:eastAsia="標楷體" w:hint="eastAsia"/>
                <w:sz w:val="28"/>
                <w:szCs w:val="28"/>
              </w:rPr>
              <w:t>塞在同一晶片上時，沒有有效的導熱、散熱甚至是絕熱，都有可能造成</w:t>
            </w:r>
            <w:r w:rsidR="00EA101B">
              <w:rPr>
                <w:rFonts w:eastAsia="標楷體" w:hint="eastAsia"/>
                <w:sz w:val="28"/>
                <w:szCs w:val="28"/>
              </w:rPr>
              <w:t>IC</w:t>
            </w:r>
            <w:r w:rsidR="00EA101B">
              <w:rPr>
                <w:rFonts w:eastAsia="標楷體" w:hint="eastAsia"/>
                <w:sz w:val="28"/>
                <w:szCs w:val="28"/>
              </w:rPr>
              <w:t>的工作效率降低，或是直接崩潰。</w:t>
            </w:r>
            <w:proofErr w:type="gramStart"/>
            <w:r w:rsidR="00EA101B">
              <w:rPr>
                <w:rFonts w:eastAsia="標楷體" w:hint="eastAsia"/>
                <w:sz w:val="28"/>
                <w:szCs w:val="28"/>
              </w:rPr>
              <w:t>此外，</w:t>
            </w:r>
            <w:proofErr w:type="gramEnd"/>
            <w:r w:rsidR="00EA101B">
              <w:rPr>
                <w:rFonts w:eastAsia="標楷體" w:hint="eastAsia"/>
                <w:sz w:val="28"/>
                <w:szCs w:val="28"/>
              </w:rPr>
              <w:t>若是晶片的散熱規劃設計得宜，</w:t>
            </w:r>
            <w:r w:rsidR="0062675E">
              <w:rPr>
                <w:rFonts w:eastAsia="標楷體" w:hint="eastAsia"/>
                <w:sz w:val="28"/>
                <w:szCs w:val="28"/>
              </w:rPr>
              <w:t>使用這顆晶片的系統便可以使用較少的電力來維持溫度以穩定運行，進而降低能源浪費。</w:t>
            </w:r>
          </w:p>
          <w:p w14:paraId="69584028" w14:textId="6C010C2B" w:rsidR="00EF1CB3" w:rsidRPr="00F55900" w:rsidRDefault="00EF1CB3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我覺得溫偉源博士</w:t>
            </w:r>
            <w:r w:rsidR="0062675E">
              <w:rPr>
                <w:rFonts w:eastAsia="標楷體" w:hint="eastAsia"/>
                <w:sz w:val="28"/>
                <w:szCs w:val="28"/>
              </w:rPr>
              <w:t>的演講實在是非常深入淺出，用平易近人的方法將複雜又專業的半導體現況帶給大家認識，也讓我們</w:t>
            </w:r>
            <w:proofErr w:type="gramStart"/>
            <w:r w:rsidR="0062675E">
              <w:rPr>
                <w:rFonts w:eastAsia="標楷體" w:hint="eastAsia"/>
                <w:sz w:val="28"/>
                <w:szCs w:val="28"/>
              </w:rPr>
              <w:t>一</w:t>
            </w:r>
            <w:proofErr w:type="gramEnd"/>
            <w:r w:rsidR="0062675E">
              <w:rPr>
                <w:rFonts w:eastAsia="標楷體" w:hint="eastAsia"/>
                <w:sz w:val="28"/>
                <w:szCs w:val="28"/>
              </w:rPr>
              <w:t>窺台積電的工作究竟在執行甚麼任務。非常感謝溫博士今天帶給我們一個充實的下午。</w:t>
            </w:r>
          </w:p>
        </w:tc>
      </w:tr>
    </w:tbl>
    <w:p w14:paraId="5FE8E87E" w14:textId="77777777" w:rsidR="002D68C9" w:rsidRPr="00F55900" w:rsidRDefault="002D68C9" w:rsidP="00C37209">
      <w:pPr>
        <w:snapToGrid w:val="0"/>
        <w:rPr>
          <w:sz w:val="28"/>
          <w:szCs w:val="28"/>
        </w:rPr>
      </w:pPr>
    </w:p>
    <w:sectPr w:rsidR="002D68C9" w:rsidRPr="00F55900" w:rsidSect="00AD5B29">
      <w:pgSz w:w="11906" w:h="16838" w:code="9"/>
      <w:pgMar w:top="567" w:right="567" w:bottom="397" w:left="567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4FB97" w14:textId="77777777" w:rsidR="00DA1EF0" w:rsidRDefault="00DA1EF0" w:rsidP="00DC3A3A">
      <w:r>
        <w:separator/>
      </w:r>
    </w:p>
  </w:endnote>
  <w:endnote w:type="continuationSeparator" w:id="0">
    <w:p w14:paraId="45FC5456" w14:textId="77777777" w:rsidR="00DA1EF0" w:rsidRDefault="00DA1EF0" w:rsidP="00D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9AEE0" w14:textId="77777777" w:rsidR="00DA1EF0" w:rsidRDefault="00DA1EF0" w:rsidP="00DC3A3A">
      <w:r>
        <w:separator/>
      </w:r>
    </w:p>
  </w:footnote>
  <w:footnote w:type="continuationSeparator" w:id="0">
    <w:p w14:paraId="6A3DC8A8" w14:textId="77777777" w:rsidR="00DA1EF0" w:rsidRDefault="00DA1EF0" w:rsidP="00DC3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E7C45"/>
    <w:multiLevelType w:val="hybridMultilevel"/>
    <w:tmpl w:val="5A2830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21"/>
    <w:rsid w:val="000007F5"/>
    <w:rsid w:val="00012306"/>
    <w:rsid w:val="0002213D"/>
    <w:rsid w:val="00040B8B"/>
    <w:rsid w:val="00046326"/>
    <w:rsid w:val="00051F54"/>
    <w:rsid w:val="00060821"/>
    <w:rsid w:val="00077C2C"/>
    <w:rsid w:val="00085151"/>
    <w:rsid w:val="00086921"/>
    <w:rsid w:val="000A4F37"/>
    <w:rsid w:val="000A66D0"/>
    <w:rsid w:val="0011460F"/>
    <w:rsid w:val="001163D3"/>
    <w:rsid w:val="00120156"/>
    <w:rsid w:val="00125CBC"/>
    <w:rsid w:val="001372A8"/>
    <w:rsid w:val="00156530"/>
    <w:rsid w:val="0016180E"/>
    <w:rsid w:val="00163DBC"/>
    <w:rsid w:val="001E721D"/>
    <w:rsid w:val="001F0ECC"/>
    <w:rsid w:val="001F3BCB"/>
    <w:rsid w:val="001F524A"/>
    <w:rsid w:val="00207B69"/>
    <w:rsid w:val="0021174D"/>
    <w:rsid w:val="00213CCA"/>
    <w:rsid w:val="00217095"/>
    <w:rsid w:val="00243527"/>
    <w:rsid w:val="00246FD0"/>
    <w:rsid w:val="0025255B"/>
    <w:rsid w:val="00256433"/>
    <w:rsid w:val="00271AB8"/>
    <w:rsid w:val="002737A5"/>
    <w:rsid w:val="002904BC"/>
    <w:rsid w:val="00292156"/>
    <w:rsid w:val="002B1664"/>
    <w:rsid w:val="002B334F"/>
    <w:rsid w:val="002D68C9"/>
    <w:rsid w:val="00300F53"/>
    <w:rsid w:val="00345045"/>
    <w:rsid w:val="00367D28"/>
    <w:rsid w:val="003A1A70"/>
    <w:rsid w:val="003E3CAD"/>
    <w:rsid w:val="003E7182"/>
    <w:rsid w:val="00400659"/>
    <w:rsid w:val="0047022E"/>
    <w:rsid w:val="0047467D"/>
    <w:rsid w:val="00482B7B"/>
    <w:rsid w:val="00486B7F"/>
    <w:rsid w:val="004A34A3"/>
    <w:rsid w:val="004B6799"/>
    <w:rsid w:val="004E4FBF"/>
    <w:rsid w:val="00515309"/>
    <w:rsid w:val="00534E31"/>
    <w:rsid w:val="00545168"/>
    <w:rsid w:val="00545217"/>
    <w:rsid w:val="005524C1"/>
    <w:rsid w:val="0056101F"/>
    <w:rsid w:val="005610C2"/>
    <w:rsid w:val="00591BFC"/>
    <w:rsid w:val="005A4F46"/>
    <w:rsid w:val="005A5FC0"/>
    <w:rsid w:val="005C792A"/>
    <w:rsid w:val="005D5F2E"/>
    <w:rsid w:val="005F4B38"/>
    <w:rsid w:val="006105DC"/>
    <w:rsid w:val="0062675E"/>
    <w:rsid w:val="006379C7"/>
    <w:rsid w:val="00640CD4"/>
    <w:rsid w:val="00662D3A"/>
    <w:rsid w:val="006776BA"/>
    <w:rsid w:val="00693A25"/>
    <w:rsid w:val="00695FFD"/>
    <w:rsid w:val="006D6EE6"/>
    <w:rsid w:val="00703CF7"/>
    <w:rsid w:val="00710CC8"/>
    <w:rsid w:val="007567F3"/>
    <w:rsid w:val="007810EF"/>
    <w:rsid w:val="00796687"/>
    <w:rsid w:val="007A062A"/>
    <w:rsid w:val="007A7621"/>
    <w:rsid w:val="007B442C"/>
    <w:rsid w:val="00801303"/>
    <w:rsid w:val="00802F2C"/>
    <w:rsid w:val="00810A7D"/>
    <w:rsid w:val="008577E6"/>
    <w:rsid w:val="0088505C"/>
    <w:rsid w:val="008D20F7"/>
    <w:rsid w:val="008E5039"/>
    <w:rsid w:val="009176D3"/>
    <w:rsid w:val="009424AA"/>
    <w:rsid w:val="00960D8C"/>
    <w:rsid w:val="00966435"/>
    <w:rsid w:val="00997EC0"/>
    <w:rsid w:val="009A514B"/>
    <w:rsid w:val="009D448C"/>
    <w:rsid w:val="009E1D02"/>
    <w:rsid w:val="00A35838"/>
    <w:rsid w:val="00A40751"/>
    <w:rsid w:val="00A47495"/>
    <w:rsid w:val="00A5295E"/>
    <w:rsid w:val="00A60695"/>
    <w:rsid w:val="00A65061"/>
    <w:rsid w:val="00A6703D"/>
    <w:rsid w:val="00A90D20"/>
    <w:rsid w:val="00A92F91"/>
    <w:rsid w:val="00A932BD"/>
    <w:rsid w:val="00AA3ACD"/>
    <w:rsid w:val="00AD5B29"/>
    <w:rsid w:val="00B1485B"/>
    <w:rsid w:val="00B337EA"/>
    <w:rsid w:val="00B441F2"/>
    <w:rsid w:val="00B701AA"/>
    <w:rsid w:val="00B82799"/>
    <w:rsid w:val="00B8525C"/>
    <w:rsid w:val="00B92E2A"/>
    <w:rsid w:val="00B9306F"/>
    <w:rsid w:val="00BB6F9F"/>
    <w:rsid w:val="00BD26D0"/>
    <w:rsid w:val="00BD6B55"/>
    <w:rsid w:val="00C37209"/>
    <w:rsid w:val="00C74DB4"/>
    <w:rsid w:val="00CA0950"/>
    <w:rsid w:val="00CA7618"/>
    <w:rsid w:val="00CD3BC3"/>
    <w:rsid w:val="00CE14F6"/>
    <w:rsid w:val="00CF041B"/>
    <w:rsid w:val="00CF4889"/>
    <w:rsid w:val="00CF699A"/>
    <w:rsid w:val="00D027EA"/>
    <w:rsid w:val="00D17ACE"/>
    <w:rsid w:val="00D212DA"/>
    <w:rsid w:val="00D42C14"/>
    <w:rsid w:val="00D46A5A"/>
    <w:rsid w:val="00D530B0"/>
    <w:rsid w:val="00D810A6"/>
    <w:rsid w:val="00D82CCE"/>
    <w:rsid w:val="00D943C3"/>
    <w:rsid w:val="00DA1EF0"/>
    <w:rsid w:val="00DA216F"/>
    <w:rsid w:val="00DA5635"/>
    <w:rsid w:val="00DC3A3A"/>
    <w:rsid w:val="00DE0672"/>
    <w:rsid w:val="00DE6E83"/>
    <w:rsid w:val="00E01A56"/>
    <w:rsid w:val="00E03408"/>
    <w:rsid w:val="00E26AFF"/>
    <w:rsid w:val="00E4335C"/>
    <w:rsid w:val="00E44141"/>
    <w:rsid w:val="00E470C8"/>
    <w:rsid w:val="00E66CDF"/>
    <w:rsid w:val="00E94A11"/>
    <w:rsid w:val="00EA101B"/>
    <w:rsid w:val="00EC70C6"/>
    <w:rsid w:val="00EE1CD2"/>
    <w:rsid w:val="00EE255D"/>
    <w:rsid w:val="00EF1CB3"/>
    <w:rsid w:val="00F26A5F"/>
    <w:rsid w:val="00F341DE"/>
    <w:rsid w:val="00F51EE9"/>
    <w:rsid w:val="00F54C96"/>
    <w:rsid w:val="00F55900"/>
    <w:rsid w:val="00F83B42"/>
    <w:rsid w:val="00FB4C75"/>
    <w:rsid w:val="00FB7960"/>
    <w:rsid w:val="00FC5C9E"/>
    <w:rsid w:val="00FF06C9"/>
    <w:rsid w:val="00FF3D0F"/>
    <w:rsid w:val="00FF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8D9E31"/>
  <w15:chartTrackingRefBased/>
  <w15:docId w15:val="{1B337E4A-918F-45C2-AAE2-A398F803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DC3A3A"/>
    <w:rPr>
      <w:kern w:val="2"/>
    </w:rPr>
  </w:style>
  <w:style w:type="paragraph" w:styleId="a5">
    <w:name w:val="footer"/>
    <w:basedOn w:val="a"/>
    <w:link w:val="a6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DC3A3A"/>
    <w:rPr>
      <w:kern w:val="2"/>
    </w:rPr>
  </w:style>
  <w:style w:type="table" w:styleId="a7">
    <w:name w:val="Table Grid"/>
    <w:basedOn w:val="a1"/>
    <w:rsid w:val="00207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10A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152</Words>
  <Characters>871</Characters>
  <Application>Microsoft Office Word</Application>
  <DocSecurity>0</DocSecurity>
  <Lines>7</Lines>
  <Paragraphs>2</Paragraphs>
  <ScaleCrop>false</ScaleCrop>
  <Company>ntu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國立台灣大學機械工程所專題討論心得報告</dc:title>
  <dc:subject/>
  <dc:creator>ntu</dc:creator>
  <cp:keywords/>
  <cp:lastModifiedBy>SOLab</cp:lastModifiedBy>
  <cp:revision>3</cp:revision>
  <cp:lastPrinted>2015-01-27T02:07:00Z</cp:lastPrinted>
  <dcterms:created xsi:type="dcterms:W3CDTF">2024-02-19T09:18:00Z</dcterms:created>
  <dcterms:modified xsi:type="dcterms:W3CDTF">2024-02-19T12:53:00Z</dcterms:modified>
</cp:coreProperties>
</file>