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77777777" w:rsidR="006D7F5F" w:rsidRPr="00C74458" w:rsidRDefault="00C74458">
      <w:pPr>
        <w:rPr>
          <w:rFonts w:ascii="微軟正黑體" w:eastAsia="微軟正黑體" w:hAnsi="微軟正黑體"/>
          <w:b/>
          <w:sz w:val="40"/>
          <w:szCs w:val="40"/>
        </w:rPr>
      </w:pPr>
      <w:r w:rsidRPr="00C74458">
        <w:rPr>
          <w:rFonts w:ascii="微軟正黑體" w:eastAsia="微軟正黑體" w:hAnsi="微軟正黑體" w:cs="Arial Unicode MS"/>
          <w:b/>
          <w:sz w:val="40"/>
          <w:szCs w:val="40"/>
        </w:rPr>
        <w:t>資料驗證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在進行資料傳輸或是提取資料時，為了確保資料的正確性，因此會進行資料驗證。其中一種資料驗證方式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﹐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是同位位元。同位位元驗證資料的方式分為兩種，奇核對位元以及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核對位元。</w:t>
      </w:r>
    </w:p>
    <w:p w14:paraId="01B5403C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以奇核對位元為例，給定一組資料中，若資料中1的個數為奇數，則補一個0，反之若資料中1的個數為偶數，則補一個1。以偶核對位元為例，給定一組資料中，若資料中1的個數為奇數，則補一個1，若資料中1的個數為偶數，則補一個0。</w:t>
      </w:r>
    </w:p>
    <w:p w14:paraId="01B5403D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舉例來說，以1組7位元的資料組為例，對於「1000101」，補上奇核對位元為「10001010」，補上偶核對位元則為「10001011」，若驗證時的資料組，無法符合以上規則，我們就稱資料毀損。</w:t>
      </w:r>
    </w:p>
    <w:p w14:paraId="01B5403E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今天給定n組m位元加1位同位位元資料，在k=1時採用奇核對位元，k=0時採用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核對位元，請對驗證正確的資料組輸出0，資料毀損的資料組輸出1，其中不含任何空白以及換行。</w:t>
      </w:r>
    </w:p>
    <w:p w14:paraId="01B5403F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第一行有三個正整數n,m,k，其中n為資料組組數且1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5000，m為一組資料組的位元數(不包含同位位元)且1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10000，k必為1或0，k=1時採用奇核對位元，k=0時採用偶核對位元，第二行有n×(m+1)個數字，而其中的數字必為0或1。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輸出只有一行，共有n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個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數字，且每一個數字必為0或1，其中不包含任何空白以及換行。</w:t>
      </w:r>
    </w:p>
    <w:p w14:paraId="31922C38" w14:textId="73D69A41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1B5404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01B5404C" w14:textId="77777777" w:rsidR="006D7F5F" w:rsidRPr="00C74458" w:rsidRDefault="00C744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6D7F5F" w:rsidRPr="00C74458" w14:paraId="01B540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01B5405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01B54052" w14:textId="77777777" w:rsidR="006D7F5F" w:rsidRPr="00C74458" w:rsidRDefault="00C744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6D7F5F" w:rsidRPr="00C74458" w14:paraId="01B540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6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01B54057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01B54058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9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1B5405A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6D7F5F" w:rsidRPr="00C74458" w14:paraId="01B540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01B5405D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01B5405E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F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01B5406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範例測資1、2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請見題目敘述。</w:t>
      </w:r>
    </w:p>
    <w:p w14:paraId="01B54065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3中，「1010」的資料組為資料毀損的資料，輸出1，「1011」的資料組為驗證正確的資料，輸出0。</w:t>
      </w:r>
    </w:p>
    <w:p w14:paraId="01B54066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4中，「1001010」及「1101101」的資料組為資料毀損的資料，輸出1，「1111110」的資料組為驗證正確的資料，輸出0。</w:t>
      </w:r>
    </w:p>
    <w:p w14:paraId="01B54067" w14:textId="0AE8B4D7" w:rsid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1C6E4E16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Strictly (嚴格比對)</w:t>
            </w:r>
          </w:p>
        </w:tc>
      </w:tr>
      <w:tr w:rsidR="006D7F5F" w:rsidRPr="00C74458" w14:paraId="01B54073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7D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82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31%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D7F5F" w:rsidRPr="00C74458" w14:paraId="01B54087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3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4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 w:hint="eastAsia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27439B"/>
    <w:rsid w:val="006D7F5F"/>
    <w:rsid w:val="00C7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3</cp:revision>
  <dcterms:created xsi:type="dcterms:W3CDTF">2023-01-22T13:28:00Z</dcterms:created>
  <dcterms:modified xsi:type="dcterms:W3CDTF">2023-01-23T08:42:00Z</dcterms:modified>
</cp:coreProperties>
</file>