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55608">
      <w:pPr>
        <w:pStyle w:val="2"/>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Who Talks About What? Classifying Political Attention Across Levels</w:t>
      </w:r>
    </w:p>
    <w:p w14:paraId="28C7D2F8">
      <w:pPr>
        <w:keepNext w:val="0"/>
        <w:keepLines w:val="0"/>
        <w:pageBreakBefore w:val="0"/>
        <w:kinsoku/>
        <w:wordWrap/>
        <w:overflowPunct/>
        <w:topLinePunct w:val="0"/>
        <w:autoSpaceDE/>
        <w:autoSpaceDN/>
        <w:bidi w:val="0"/>
        <w:adjustRightInd/>
        <w:snapToGrid/>
        <w:spacing w:beforeAutospacing="0" w:after="157" w:afterLines="50" w:afterAutospacing="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Yi Dou</w:t>
      </w:r>
    </w:p>
    <w:p w14:paraId="648E6D6B">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Abstract</w:t>
      </w:r>
    </w:p>
    <w:p w14:paraId="02A6C101">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lang w:val="en-US" w:eastAsia="zh-CN"/>
        </w:rPr>
      </w:pPr>
      <w:r>
        <w:rPr>
          <w:rFonts w:hint="eastAsia" w:ascii="Times New Roman" w:hAnsi="Times New Roman" w:cs="Times New Roman" w:eastAsiaTheme="minorEastAsia"/>
          <w:b w:val="0"/>
          <w:bCs w:val="0"/>
          <w:sz w:val="24"/>
          <w:szCs w:val="24"/>
          <w:lang w:val="en-US" w:eastAsia="zh-CN"/>
        </w:rPr>
        <w:t>This paper studies how elected officials communicate across different levels of government under a federal system using social media text data. Drawing on posts from U.S. elected officials on X in 2024, I develop</w:t>
      </w:r>
      <w:r>
        <w:rPr>
          <w:rFonts w:hint="default" w:ascii="Times New Roman" w:hAnsi="Times New Roman" w:cs="Times New Roman"/>
          <w:b w:val="0"/>
          <w:bCs w:val="0"/>
          <w:sz w:val="24"/>
          <w:szCs w:val="24"/>
          <w:lang w:val="en-US" w:eastAsia="zh-CN"/>
        </w:rPr>
        <w:t>ed</w:t>
      </w:r>
      <w:r>
        <w:rPr>
          <w:rFonts w:hint="eastAsia" w:ascii="Times New Roman" w:hAnsi="Times New Roman" w:cs="Times New Roman" w:eastAsiaTheme="minorEastAsia"/>
          <w:b w:val="0"/>
          <w:bCs w:val="0"/>
          <w:sz w:val="24"/>
          <w:szCs w:val="24"/>
          <w:lang w:val="en-US" w:eastAsia="zh-CN"/>
        </w:rPr>
        <w:t xml:space="preserve"> a pipeline that combine</w:t>
      </w:r>
      <w:r>
        <w:rPr>
          <w:rFonts w:hint="default" w:ascii="Times New Roman" w:hAnsi="Times New Roman" w:cs="Times New Roman"/>
          <w:b w:val="0"/>
          <w:bCs w:val="0"/>
          <w:sz w:val="24"/>
          <w:szCs w:val="24"/>
          <w:lang w:val="en-US" w:eastAsia="zh-CN"/>
        </w:rPr>
        <w:t>d</w:t>
      </w:r>
      <w:r>
        <w:rPr>
          <w:rFonts w:hint="eastAsia" w:ascii="Times New Roman" w:hAnsi="Times New Roman" w:cs="Times New Roman" w:eastAsiaTheme="minorEastAsia"/>
          <w:b w:val="0"/>
          <w:bCs w:val="0"/>
          <w:sz w:val="24"/>
          <w:szCs w:val="24"/>
          <w:lang w:val="en-US" w:eastAsia="zh-CN"/>
        </w:rPr>
        <w:t xml:space="preserve"> an unsupervised topic model with word embeddings to classify </w:t>
      </w:r>
      <w:r>
        <w:rPr>
          <w:rFonts w:hint="default" w:ascii="Times New Roman" w:hAnsi="Times New Roman" w:cs="Times New Roman"/>
          <w:b w:val="0"/>
          <w:bCs w:val="0"/>
          <w:sz w:val="24"/>
          <w:szCs w:val="24"/>
          <w:lang w:val="en-US" w:eastAsia="zh-CN"/>
        </w:rPr>
        <w:t>texts</w:t>
      </w:r>
      <w:r>
        <w:rPr>
          <w:rFonts w:hint="eastAsia" w:ascii="Times New Roman" w:hAnsi="Times New Roman" w:cs="Times New Roman" w:eastAsiaTheme="minorEastAsia"/>
          <w:b w:val="0"/>
          <w:bCs w:val="0"/>
          <w:sz w:val="24"/>
          <w:szCs w:val="24"/>
          <w:lang w:val="en-US" w:eastAsia="zh-CN"/>
        </w:rPr>
        <w:t xml:space="preserve"> into federal, state, and local issue levels. Latent topics identified by an LDA model </w:t>
      </w:r>
      <w:r>
        <w:rPr>
          <w:rFonts w:hint="default" w:ascii="Times New Roman" w:hAnsi="Times New Roman" w:cs="Times New Roman"/>
          <w:b w:val="0"/>
          <w:bCs w:val="0"/>
          <w:sz w:val="24"/>
          <w:szCs w:val="24"/>
          <w:lang w:val="en-US" w:eastAsia="zh-CN"/>
        </w:rPr>
        <w:t>were</w:t>
      </w:r>
      <w:r>
        <w:rPr>
          <w:rFonts w:hint="eastAsia" w:ascii="Times New Roman" w:hAnsi="Times New Roman" w:cs="Times New Roman" w:eastAsiaTheme="minorEastAsia"/>
          <w:b w:val="0"/>
          <w:bCs w:val="0"/>
          <w:sz w:val="24"/>
          <w:szCs w:val="24"/>
          <w:lang w:val="en-US" w:eastAsia="zh-CN"/>
        </w:rPr>
        <w:t xml:space="preserve"> mapped onto these three dimensions using embedding-based similarity measures with orthogonalization to address semantic overlap. Document-level labels </w:t>
      </w:r>
      <w:r>
        <w:rPr>
          <w:rFonts w:hint="default" w:ascii="Times New Roman" w:hAnsi="Times New Roman" w:cs="Times New Roman"/>
          <w:b w:val="0"/>
          <w:bCs w:val="0"/>
          <w:sz w:val="24"/>
          <w:szCs w:val="24"/>
          <w:lang w:val="en-US" w:eastAsia="zh-CN"/>
        </w:rPr>
        <w:t>were</w:t>
      </w:r>
      <w:r>
        <w:rPr>
          <w:rFonts w:hint="eastAsia" w:ascii="Times New Roman" w:hAnsi="Times New Roman" w:cs="Times New Roman" w:eastAsiaTheme="minorEastAsia"/>
          <w:b w:val="0"/>
          <w:bCs w:val="0"/>
          <w:sz w:val="24"/>
          <w:szCs w:val="24"/>
          <w:lang w:val="en-US" w:eastAsia="zh-CN"/>
        </w:rPr>
        <w:t xml:space="preserve"> then constructed as weighted averages of topic-level scores and used to train supervised learning models, including a ridge multinomial logistic regression and a DistilBERT classifier. </w:t>
      </w:r>
      <w:r>
        <w:rPr>
          <w:rFonts w:hint="default" w:ascii="Times New Roman" w:hAnsi="Times New Roman" w:cs="Times New Roman"/>
          <w:b w:val="0"/>
          <w:bCs w:val="0"/>
          <w:sz w:val="24"/>
          <w:szCs w:val="24"/>
          <w:lang w:val="en-US" w:eastAsia="zh-CN"/>
        </w:rPr>
        <w:t>The</w:t>
      </w:r>
      <w:r>
        <w:rPr>
          <w:rFonts w:hint="eastAsia" w:ascii="Times New Roman" w:hAnsi="Times New Roman" w:cs="Times New Roman" w:eastAsiaTheme="minorEastAsia"/>
          <w:b w:val="0"/>
          <w:bCs w:val="0"/>
          <w:sz w:val="24"/>
          <w:szCs w:val="24"/>
          <w:lang w:val="en-US" w:eastAsia="zh-CN"/>
        </w:rPr>
        <w:t xml:space="preserve"> models outperform</w:t>
      </w:r>
      <w:r>
        <w:rPr>
          <w:rFonts w:hint="default" w:ascii="Times New Roman" w:hAnsi="Times New Roman" w:cs="Times New Roman"/>
          <w:b w:val="0"/>
          <w:bCs w:val="0"/>
          <w:sz w:val="24"/>
          <w:szCs w:val="24"/>
          <w:lang w:val="en-US" w:eastAsia="zh-CN"/>
        </w:rPr>
        <w:t>ed</w:t>
      </w:r>
      <w:r>
        <w:rPr>
          <w:rFonts w:hint="eastAsia" w:ascii="Times New Roman" w:hAnsi="Times New Roman" w:cs="Times New Roman" w:eastAsiaTheme="minorEastAsia"/>
          <w:b w:val="0"/>
          <w:bCs w:val="0"/>
          <w:sz w:val="24"/>
          <w:szCs w:val="24"/>
          <w:lang w:val="en-US" w:eastAsia="zh-CN"/>
        </w:rPr>
        <w:t xml:space="preserve"> a naive baseline and produce</w:t>
      </w:r>
      <w:r>
        <w:rPr>
          <w:rFonts w:hint="default" w:ascii="Times New Roman" w:hAnsi="Times New Roman" w:cs="Times New Roman"/>
          <w:b w:val="0"/>
          <w:bCs w:val="0"/>
          <w:sz w:val="24"/>
          <w:szCs w:val="24"/>
          <w:lang w:val="en-US" w:eastAsia="zh-CN"/>
        </w:rPr>
        <w:t>d</w:t>
      </w:r>
      <w:r>
        <w:rPr>
          <w:rFonts w:hint="eastAsia" w:ascii="Times New Roman" w:hAnsi="Times New Roman" w:cs="Times New Roman" w:eastAsiaTheme="minorEastAsia"/>
          <w:b w:val="0"/>
          <w:bCs w:val="0"/>
          <w:sz w:val="24"/>
          <w:szCs w:val="24"/>
          <w:lang w:val="en-US" w:eastAsia="zh-CN"/>
        </w:rPr>
        <w:t xml:space="preserve"> predictions that align with institutional expectations when applied to an external data</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eastAsiaTheme="minorEastAsia"/>
          <w:b w:val="0"/>
          <w:bCs w:val="0"/>
          <w:sz w:val="24"/>
          <w:szCs w:val="24"/>
          <w:lang w:val="en-US" w:eastAsia="zh-CN"/>
        </w:rPr>
        <w:t>set of congressional tweets. Overall, the results suggest that embedding-based labeling offers a scalable and interpretable approach for studying multi-level political communication.</w:t>
      </w:r>
    </w:p>
    <w:p w14:paraId="60EA8E5C">
      <w:pPr>
        <w:pStyle w:val="2"/>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Introduction and Motivation</w:t>
      </w:r>
    </w:p>
    <w:p w14:paraId="63A2FB04">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Coming from a unitary state, I have long been curious about how a federal system actually functions. In particular, I wonder whether officials under federalism serve primarily their states or the federal government itself. Do officials at different levels focus on different kinds of issues?</w:t>
      </w:r>
      <w:r>
        <w:rPr>
          <w:rFonts w:hint="default" w:ascii="Times New Roman" w:hAnsi="Times New Roman" w:cs="Times New Roman"/>
          <w:b w:val="0"/>
          <w:bCs w:val="0"/>
          <w:sz w:val="24"/>
          <w:szCs w:val="24"/>
          <w:lang w:val="en-US" w:eastAsia="zh-CN"/>
        </w:rPr>
        <w:t xml:space="preserve"> Do these focus differs among parties or other characteristics? To find out the answers, I decided to build a classifier which classify the attention level of officials based on their social media texts. </w:t>
      </w:r>
    </w:p>
    <w:p w14:paraId="1FE31A4E">
      <w:pPr>
        <w:keepNext w:val="0"/>
        <w:keepLines w:val="0"/>
        <w:pageBreakBefore w:val="0"/>
        <w:numPr>
          <w:ilvl w:val="0"/>
          <w:numId w:val="0"/>
        </w:numPr>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Here’s a overview of my work flow. </w:t>
      </w:r>
      <w:r>
        <w:rPr>
          <w:rFonts w:hint="default" w:ascii="Times New Roman" w:hAnsi="Times New Roman" w:cs="Times New Roman" w:eastAsiaTheme="minorEastAsia"/>
          <w:b w:val="0"/>
          <w:bCs w:val="0"/>
          <w:sz w:val="24"/>
          <w:szCs w:val="24"/>
          <w:lang w:val="en-US" w:eastAsia="zh-CN"/>
        </w:rPr>
        <w:t>First,</w:t>
      </w:r>
      <w:r>
        <w:rPr>
          <w:rFonts w:hint="default" w:ascii="Times New Roman" w:hAnsi="Times New Roman" w:cs="Times New Roman"/>
          <w:b w:val="0"/>
          <w:bCs w:val="0"/>
          <w:sz w:val="24"/>
          <w:szCs w:val="24"/>
          <w:lang w:val="en-US" w:eastAsia="zh-CN"/>
        </w:rPr>
        <w:t xml:space="preserve"> I scraped data from X using the tweet id </w:t>
      </w:r>
      <w:r>
        <w:rPr>
          <w:rFonts w:hint="default" w:ascii="Times New Roman" w:hAnsi="Times New Roman" w:cs="Times New Roman" w:eastAsiaTheme="minorEastAsia"/>
          <w:b w:val="0"/>
          <w:bCs w:val="0"/>
          <w:sz w:val="24"/>
          <w:szCs w:val="24"/>
          <w:lang w:val="en-US" w:eastAsia="zh-CN"/>
        </w:rPr>
        <w:t xml:space="preserve">from the </w:t>
      </w:r>
      <w:r>
        <w:rPr>
          <w:rFonts w:hint="default" w:ascii="Times New Roman" w:hAnsi="Times New Roman" w:cs="Times New Roman"/>
          <w:b w:val="0"/>
          <w:bCs w:val="0"/>
          <w:sz w:val="24"/>
          <w:szCs w:val="24"/>
          <w:lang w:val="en-US" w:eastAsia="zh-CN"/>
        </w:rPr>
        <w:t>Digitally Accountable Public Representation (</w:t>
      </w:r>
      <w:r>
        <w:rPr>
          <w:rFonts w:hint="default" w:ascii="Times New Roman" w:hAnsi="Times New Roman" w:cs="Times New Roman" w:eastAsiaTheme="minorEastAsia"/>
          <w:b w:val="0"/>
          <w:bCs w:val="0"/>
          <w:sz w:val="24"/>
          <w:szCs w:val="24"/>
          <w:lang w:val="en-US" w:eastAsia="zh-CN"/>
        </w:rPr>
        <w:t>DAPR</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 xml:space="preserve"> data</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eastAsiaTheme="minorEastAsia"/>
          <w:b w:val="0"/>
          <w:bCs w:val="0"/>
          <w:sz w:val="24"/>
          <w:szCs w:val="24"/>
          <w:lang w:val="en-US" w:eastAsia="zh-CN"/>
        </w:rPr>
        <w:t>set</w:t>
      </w:r>
      <w:r>
        <w:rPr>
          <w:rFonts w:hint="default" w:ascii="Times New Roman" w:hAnsi="Times New Roman" w:cs="Times New Roman"/>
          <w:b w:val="0"/>
          <w:bCs w:val="0"/>
          <w:sz w:val="24"/>
          <w:szCs w:val="24"/>
          <w:lang w:val="en-US" w:eastAsia="zh-CN"/>
        </w:rPr>
        <w:t xml:space="preserve">. Then </w:t>
      </w:r>
      <w:r>
        <w:rPr>
          <w:rFonts w:hint="default" w:ascii="Times New Roman" w:hAnsi="Times New Roman" w:cs="Times New Roman" w:eastAsiaTheme="minorEastAsia"/>
          <w:b w:val="0"/>
          <w:bCs w:val="0"/>
          <w:sz w:val="24"/>
          <w:szCs w:val="24"/>
          <w:lang w:val="en-US" w:eastAsia="zh-CN"/>
        </w:rPr>
        <w:t>I appl</w:t>
      </w:r>
      <w:r>
        <w:rPr>
          <w:rFonts w:hint="default" w:ascii="Times New Roman" w:hAnsi="Times New Roman" w:cs="Times New Roman"/>
          <w:b w:val="0"/>
          <w:bCs w:val="0"/>
          <w:sz w:val="24"/>
          <w:szCs w:val="24"/>
          <w:lang w:val="en-US" w:eastAsia="zh-CN"/>
        </w:rPr>
        <w:t>ied</w:t>
      </w:r>
      <w:r>
        <w:rPr>
          <w:rFonts w:hint="default" w:ascii="Times New Roman" w:hAnsi="Times New Roman" w:cs="Times New Roman" w:eastAsiaTheme="minorEastAsia"/>
          <w:b w:val="0"/>
          <w:bCs w:val="0"/>
          <w:sz w:val="24"/>
          <w:szCs w:val="24"/>
          <w:lang w:val="en-US" w:eastAsia="zh-CN"/>
        </w:rPr>
        <w:t xml:space="preserve"> a</w:t>
      </w:r>
      <w:r>
        <w:rPr>
          <w:rFonts w:hint="default" w:ascii="Times New Roman" w:hAnsi="Times New Roman" w:cs="Times New Roman"/>
          <w:b w:val="0"/>
          <w:bCs w:val="0"/>
          <w:sz w:val="24"/>
          <w:szCs w:val="24"/>
          <w:lang w:val="en-US" w:eastAsia="zh-CN"/>
        </w:rPr>
        <w:t xml:space="preserve"> topic</w:t>
      </w:r>
      <w:r>
        <w:rPr>
          <w:rFonts w:hint="default" w:ascii="Times New Roman" w:hAnsi="Times New Roman" w:cs="Times New Roman" w:eastAsiaTheme="minorEastAsia"/>
          <w:b w:val="0"/>
          <w:bCs w:val="0"/>
          <w:sz w:val="24"/>
          <w:szCs w:val="24"/>
          <w:lang w:val="en-US" w:eastAsia="zh-CN"/>
        </w:rPr>
        <w:t xml:space="preserve"> model to identify </w:t>
      </w:r>
      <w:r>
        <w:rPr>
          <w:rFonts w:hint="default" w:ascii="Times New Roman" w:hAnsi="Times New Roman" w:cs="Times New Roman"/>
          <w:b w:val="0"/>
          <w:bCs w:val="0"/>
          <w:sz w:val="24"/>
          <w:szCs w:val="24"/>
          <w:lang w:val="en-US" w:eastAsia="zh-CN"/>
        </w:rPr>
        <w:t>the</w:t>
      </w:r>
      <w:r>
        <w:rPr>
          <w:rFonts w:hint="default" w:ascii="Times New Roman" w:hAnsi="Times New Roman" w:cs="Times New Roman" w:eastAsiaTheme="minorEastAsia"/>
          <w:b w:val="0"/>
          <w:bCs w:val="0"/>
          <w:sz w:val="24"/>
          <w:szCs w:val="24"/>
          <w:lang w:val="en-US" w:eastAsia="zh-CN"/>
        </w:rPr>
        <w:t xml:space="preserve"> latent topics. Each topic </w:t>
      </w:r>
      <w:r>
        <w:rPr>
          <w:rFonts w:hint="default" w:ascii="Times New Roman" w:hAnsi="Times New Roman" w:cs="Times New Roman"/>
          <w:b w:val="0"/>
          <w:bCs w:val="0"/>
          <w:sz w:val="24"/>
          <w:szCs w:val="24"/>
          <w:lang w:val="en-US" w:eastAsia="zh-CN"/>
        </w:rPr>
        <w:t>were</w:t>
      </w:r>
      <w:r>
        <w:rPr>
          <w:rFonts w:hint="default" w:ascii="Times New Roman" w:hAnsi="Times New Roman" w:cs="Times New Roman" w:eastAsiaTheme="minorEastAsia"/>
          <w:b w:val="0"/>
          <w:bCs w:val="0"/>
          <w:sz w:val="24"/>
          <w:szCs w:val="24"/>
          <w:lang w:val="en-US" w:eastAsia="zh-CN"/>
        </w:rPr>
        <w:t xml:space="preserve"> then be categorized as corresponding to the federal, state, or local level</w:t>
      </w:r>
      <w:r>
        <w:rPr>
          <w:rFonts w:hint="default" w:ascii="Times New Roman" w:hAnsi="Times New Roman" w:cs="Times New Roman"/>
          <w:b w:val="0"/>
          <w:bCs w:val="0"/>
          <w:sz w:val="24"/>
          <w:szCs w:val="24"/>
          <w:lang w:val="en-US" w:eastAsia="zh-CN"/>
        </w:rPr>
        <w:t xml:space="preserve"> according to the embedding of their word distribution</w:t>
      </w:r>
      <w:r>
        <w:rPr>
          <w:rFonts w:hint="default" w:ascii="Times New Roman" w:hAnsi="Times New Roman" w:cs="Times New Roman" w:eastAsiaTheme="minorEastAsia"/>
          <w:b w:val="0"/>
          <w:bCs w:val="0"/>
          <w:sz w:val="24"/>
          <w:szCs w:val="24"/>
          <w:lang w:val="en-US" w:eastAsia="zh-CN"/>
        </w:rPr>
        <w:t xml:space="preserve">. Next, I </w:t>
      </w:r>
      <w:r>
        <w:rPr>
          <w:rFonts w:hint="default" w:ascii="Times New Roman" w:hAnsi="Times New Roman" w:cs="Times New Roman"/>
          <w:b w:val="0"/>
          <w:bCs w:val="0"/>
          <w:sz w:val="24"/>
          <w:szCs w:val="24"/>
          <w:lang w:val="en-US" w:eastAsia="zh-CN"/>
        </w:rPr>
        <w:t>assigned each document as one of these category according to their topic distribution</w:t>
      </w:r>
      <w:r>
        <w:rPr>
          <w:rFonts w:hint="default" w:ascii="Times New Roman" w:hAnsi="Times New Roman" w:cs="Times New Roman" w:eastAsiaTheme="minorEastAsia"/>
          <w:b w:val="0"/>
          <w:bCs w:val="0"/>
          <w:sz w:val="24"/>
          <w:szCs w:val="24"/>
          <w:lang w:val="en-US" w:eastAsia="zh-CN"/>
        </w:rPr>
        <w:t xml:space="preserve">. These labeled </w:t>
      </w:r>
      <w:r>
        <w:rPr>
          <w:rFonts w:hint="default" w:ascii="Times New Roman" w:hAnsi="Times New Roman" w:cs="Times New Roman"/>
          <w:b w:val="0"/>
          <w:bCs w:val="0"/>
          <w:sz w:val="24"/>
          <w:szCs w:val="24"/>
          <w:lang w:val="en-US" w:eastAsia="zh-CN"/>
        </w:rPr>
        <w:t>data</w:t>
      </w:r>
      <w:r>
        <w:rPr>
          <w:rFonts w:hint="default" w:ascii="Times New Roman" w:hAnsi="Times New Roman" w:cs="Times New Roman" w:eastAsiaTheme="minorEastAsia"/>
          <w:b w:val="0"/>
          <w:bCs w:val="0"/>
          <w:sz w:val="24"/>
          <w:szCs w:val="24"/>
          <w:lang w:val="en-US" w:eastAsia="zh-CN"/>
        </w:rPr>
        <w:t xml:space="preserve"> form</w:t>
      </w:r>
      <w:r>
        <w:rPr>
          <w:rFonts w:hint="default" w:ascii="Times New Roman" w:hAnsi="Times New Roman" w:cs="Times New Roman"/>
          <w:b w:val="0"/>
          <w:bCs w:val="0"/>
          <w:sz w:val="24"/>
          <w:szCs w:val="24"/>
          <w:lang w:val="en-US" w:eastAsia="zh-CN"/>
        </w:rPr>
        <w:t>ed</w:t>
      </w:r>
      <w:r>
        <w:rPr>
          <w:rFonts w:hint="default" w:ascii="Times New Roman" w:hAnsi="Times New Roman" w:cs="Times New Roman" w:eastAsiaTheme="minorEastAsia"/>
          <w:b w:val="0"/>
          <w:bCs w:val="0"/>
          <w:sz w:val="24"/>
          <w:szCs w:val="24"/>
          <w:lang w:val="en-US" w:eastAsia="zh-CN"/>
        </w:rPr>
        <w:t xml:space="preserve"> the basis of a supervised learning model designed to predict the governmental level of any given post. I then appl</w:t>
      </w:r>
      <w:r>
        <w:rPr>
          <w:rFonts w:hint="default" w:ascii="Times New Roman" w:hAnsi="Times New Roman" w:cs="Times New Roman"/>
          <w:b w:val="0"/>
          <w:bCs w:val="0"/>
          <w:sz w:val="24"/>
          <w:szCs w:val="24"/>
          <w:lang w:val="en-US" w:eastAsia="zh-CN"/>
        </w:rPr>
        <w:t>ied the</w:t>
      </w:r>
      <w:r>
        <w:rPr>
          <w:rFonts w:hint="default" w:ascii="Times New Roman" w:hAnsi="Times New Roman" w:cs="Times New Roman" w:eastAsiaTheme="minorEastAsia"/>
          <w:b w:val="0"/>
          <w:bCs w:val="0"/>
          <w:sz w:val="24"/>
          <w:szCs w:val="24"/>
          <w:lang w:val="en-US" w:eastAsia="zh-CN"/>
        </w:rPr>
        <w:t xml:space="preserve"> model to</w:t>
      </w:r>
      <w:r>
        <w:rPr>
          <w:rFonts w:hint="default" w:ascii="Times New Roman" w:hAnsi="Times New Roman" w:cs="Times New Roman"/>
          <w:b w:val="0"/>
          <w:bCs w:val="0"/>
          <w:sz w:val="24"/>
          <w:szCs w:val="24"/>
          <w:lang w:val="en-US" w:eastAsia="zh-CN"/>
        </w:rPr>
        <w:t xml:space="preserve"> another data set to see how it worked.</w:t>
      </w:r>
    </w:p>
    <w:p w14:paraId="68A6C7BA">
      <w:pPr>
        <w:keepNext w:val="0"/>
        <w:keepLines w:val="0"/>
        <w:pageBreakBefore w:val="0"/>
        <w:numPr>
          <w:ilvl w:val="0"/>
          <w:numId w:val="0"/>
        </w:numPr>
        <w:kinsoku/>
        <w:wordWrap/>
        <w:overflowPunct/>
        <w:topLinePunct w:val="0"/>
        <w:autoSpaceDE/>
        <w:autoSpaceDN/>
        <w:bidi w:val="0"/>
        <w:adjustRightInd/>
        <w:snapToGrid/>
        <w:spacing w:beforeAutospacing="0" w:after="157" w:afterLines="50" w:afterAutospacing="0"/>
        <w:jc w:val="left"/>
        <w:textAlignment w:val="auto"/>
        <w:rPr>
          <w:rFonts w:hint="default"/>
          <w:lang w:val="en-US" w:eastAsia="zh-CN"/>
        </w:rPr>
      </w:pPr>
      <w:r>
        <w:rPr>
          <w:rFonts w:hint="default" w:ascii="Times New Roman" w:hAnsi="Times New Roman" w:cs="Times New Roman"/>
          <w:b w:val="0"/>
          <w:bCs w:val="0"/>
          <w:sz w:val="24"/>
          <w:szCs w:val="24"/>
          <w:lang w:val="en-US" w:eastAsia="zh-CN"/>
        </w:rPr>
        <w:t xml:space="preserve">This project’s methodology is inspired by some existing works. Barberá et al (2019) used a Latent Dirichlet Allocation (LDA) model to identify issue-specific topics in congressional speeches and social media posts, and then use these topics as substantive units to study agenda-setting dynamics between legislators and the mass public. By contrast, </w:t>
      </w:r>
      <w:r>
        <w:rPr>
          <w:rFonts w:hint="default" w:ascii="Times New Roman" w:hAnsi="Times New Roman" w:cs="Times New Roman"/>
          <w:sz w:val="24"/>
          <w:szCs w:val="24"/>
          <w:lang w:val="en-US" w:eastAsia="zh-CN"/>
        </w:rPr>
        <w:t xml:space="preserve">Motolinia (2021) also used topic models for subsequent anlysis, but classified the latent topics into a few meta-topic categories instead of labeling each of them. On the other hand, </w:t>
      </w:r>
      <w:r>
        <w:rPr>
          <w:rFonts w:hint="default" w:ascii="Times New Roman" w:hAnsi="Times New Roman" w:cs="Times New Roman"/>
          <w:b w:val="0"/>
          <w:bCs w:val="0"/>
          <w:sz w:val="24"/>
          <w:szCs w:val="24"/>
          <w:lang w:val="en-US" w:eastAsia="zh-CN"/>
        </w:rPr>
        <w:t>Rheault and Cochrane (2020) introduced word embeddings augmented with political metadata to capture semantic relationships in parliamentary texts, and scale ideological positions of parties and legislators. Together, these studies illustrate two complementary approaches: topic models summarize political discourse into interpretable issue categories, while word embeddings preserve contextual semantics and enable flexible measurement of latent ideological dimensions. I applied a similar pipeline to conduct the research.</w:t>
      </w:r>
    </w:p>
    <w:p w14:paraId="454B8018">
      <w:pPr>
        <w:pStyle w:val="2"/>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Data Collection</w:t>
      </w:r>
    </w:p>
    <w:p w14:paraId="3090D3D9">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 used the Digitally Accountable Public Representation (DAPR) Database, which tracks and analyzes the online communication of federal, state, and local elected officials in the U.S. focusing on X/Twitter and Facebook. Specifically, I limited my research scope to the data from X in 2024. There are two main reasons for this decision. Firstly, the DAPR database does not include any data on Facebook posts beyond December 2021, which is a little outdated in the context of social media data. Secondly, in the X data beginning in 2024, DAPR collects data from a random sample of 1,000 elected officials each month, which makes the data more appropriate to aggregate and compare with each other (Tai et al, 2024).</w:t>
      </w:r>
    </w:p>
    <w:p w14:paraId="584C3BCC">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primary goal of this </w:t>
      </w:r>
      <w:r>
        <w:rPr>
          <w:rFonts w:hint="default" w:ascii="Times New Roman" w:hAnsi="Times New Roman" w:cs="Times New Roman"/>
          <w:sz w:val="24"/>
          <w:szCs w:val="24"/>
          <w:lang w:val="en-US"/>
        </w:rPr>
        <w:t>data collection process</w:t>
      </w:r>
      <w:r>
        <w:rPr>
          <w:rFonts w:hint="default" w:ascii="Times New Roman" w:hAnsi="Times New Roman" w:cs="Times New Roman"/>
          <w:sz w:val="24"/>
          <w:szCs w:val="24"/>
        </w:rPr>
        <w:t xml:space="preserve"> was to construct a data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set of political social media posts which could later be used for text analysis and supervised learning. The initial data </w:t>
      </w:r>
      <w:r>
        <w:rPr>
          <w:rFonts w:hint="default" w:ascii="Times New Roman" w:hAnsi="Times New Roman" w:cs="Times New Roman"/>
          <w:sz w:val="24"/>
          <w:szCs w:val="24"/>
          <w:lang w:val="en-US"/>
        </w:rPr>
        <w:t xml:space="preserve">from DAPR </w:t>
      </w:r>
      <w:r>
        <w:rPr>
          <w:rFonts w:hint="default" w:ascii="Times New Roman" w:hAnsi="Times New Roman" w:cs="Times New Roman"/>
          <w:sz w:val="24"/>
          <w:szCs w:val="24"/>
        </w:rPr>
        <w:t xml:space="preserve">consisted of TF-IDF representations stored across multiple files. However, these TF-IDF values were computed independently </w:t>
      </w:r>
      <w:r>
        <w:rPr>
          <w:rFonts w:hint="default" w:ascii="Times New Roman" w:hAnsi="Times New Roman" w:cs="Times New Roman"/>
          <w:sz w:val="24"/>
          <w:szCs w:val="24"/>
          <w:lang w:val="en-US"/>
        </w:rPr>
        <w:t>for each week,</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so they</w:t>
      </w:r>
      <w:r>
        <w:rPr>
          <w:rFonts w:hint="default" w:ascii="Times New Roman" w:hAnsi="Times New Roman" w:cs="Times New Roman"/>
          <w:sz w:val="24"/>
          <w:szCs w:val="24"/>
        </w:rPr>
        <w:t xml:space="preserve"> were not directly comparable</w:t>
      </w:r>
      <w:r>
        <w:rPr>
          <w:rFonts w:hint="default" w:ascii="Times New Roman" w:hAnsi="Times New Roman" w:cs="Times New Roman"/>
          <w:sz w:val="24"/>
          <w:szCs w:val="24"/>
          <w:lang w:val="en-US"/>
        </w:rPr>
        <w:t xml:space="preserve"> with each other</w:t>
      </w:r>
      <w:r>
        <w:rPr>
          <w:rFonts w:hint="default" w:ascii="Times New Roman" w:hAnsi="Times New Roman" w:cs="Times New Roman"/>
          <w:sz w:val="24"/>
          <w:szCs w:val="24"/>
        </w:rPr>
        <w:t>. More importantly, the original textual content was not included, which prevented the construction of a unified document–term matrix or the recalculation of global TF-IDF scores.</w:t>
      </w:r>
    </w:p>
    <w:p w14:paraId="169AA788">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To address this limitation, I designed a data collection pipeline to reconstruct the original tweet texts associated with each observation. The key insight was that, although the raw text was missing, the data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set included tweet identifiers (IDs) corresponding to each post. These tweet IDs could potentially be used to retrieve the original content from the X platform.</w:t>
      </w:r>
    </w:p>
    <w:p w14:paraId="19257AB1">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Because access to the official Twitter API is restricted and rate-limited, I adopted a browser-based web automation approach rather than an API-based method. Specifically, I used Python together with the </w:t>
      </w:r>
      <w:r>
        <w:rPr>
          <w:rStyle w:val="8"/>
          <w:rFonts w:hint="default" w:ascii="Times New Roman" w:hAnsi="Times New Roman" w:cs="Times New Roman"/>
          <w:b w:val="0"/>
          <w:bCs/>
          <w:i/>
          <w:iCs/>
          <w:sz w:val="24"/>
          <w:szCs w:val="24"/>
        </w:rPr>
        <w:t>Playwright</w:t>
      </w:r>
      <w:r>
        <w:rPr>
          <w:rFonts w:hint="default" w:ascii="Times New Roman" w:hAnsi="Times New Roman" w:cs="Times New Roman"/>
          <w:sz w:val="24"/>
          <w:szCs w:val="24"/>
        </w:rPr>
        <w:t xml:space="preserve"> library to automate a real Chrome browser session. By launching the browser with an existing authenticated user profile, the scraper was able to access tweets that were publicly visible to a logged-in user, while avoiding API authentication requirements. This approach also allowed the scraper to handle JavaScript-rendered content, which is essential for loading tweet text on X.</w:t>
      </w:r>
    </w:p>
    <w:p w14:paraId="5F8B45A9">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core Python libraries used in the data collection process included:</w:t>
      </w:r>
    </w:p>
    <w:p w14:paraId="4A412D5C">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ind w:left="425" w:leftChars="0" w:hanging="425" w:firstLineChars="0"/>
        <w:jc w:val="left"/>
        <w:textAlignment w:val="auto"/>
        <w:rPr>
          <w:rFonts w:hint="default" w:ascii="Times New Roman" w:hAnsi="Times New Roman" w:cs="Times New Roman"/>
          <w:sz w:val="24"/>
          <w:szCs w:val="24"/>
        </w:rPr>
      </w:pPr>
      <w:r>
        <w:rPr>
          <w:rStyle w:val="8"/>
          <w:rFonts w:hint="default" w:ascii="Times New Roman" w:hAnsi="Times New Roman" w:cs="Times New Roman"/>
          <w:b w:val="0"/>
          <w:bCs/>
          <w:i/>
          <w:iCs/>
          <w:sz w:val="24"/>
          <w:szCs w:val="24"/>
        </w:rPr>
        <w:t>playwright</w:t>
      </w:r>
      <w:r>
        <w:rPr>
          <w:rFonts w:hint="default" w:ascii="Times New Roman" w:hAnsi="Times New Roman" w:cs="Times New Roman"/>
          <w:b w:val="0"/>
          <w:bCs/>
          <w:i/>
          <w:iCs/>
          <w:sz w:val="24"/>
          <w:szCs w:val="24"/>
        </w:rPr>
        <w:t xml:space="preserve"> </w:t>
      </w:r>
      <w:r>
        <w:rPr>
          <w:rFonts w:hint="default" w:ascii="Times New Roman" w:hAnsi="Times New Roman" w:cs="Times New Roman"/>
          <w:sz w:val="24"/>
          <w:szCs w:val="24"/>
        </w:rPr>
        <w:t>(for browser automation and page interaction),</w:t>
      </w:r>
    </w:p>
    <w:p w14:paraId="07743130">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ind w:left="425" w:leftChars="0" w:hanging="425" w:firstLineChars="0"/>
        <w:jc w:val="left"/>
        <w:textAlignment w:val="auto"/>
        <w:rPr>
          <w:rFonts w:hint="default" w:ascii="Times New Roman" w:hAnsi="Times New Roman" w:cs="Times New Roman"/>
          <w:sz w:val="24"/>
          <w:szCs w:val="24"/>
        </w:rPr>
      </w:pPr>
      <w:r>
        <w:rPr>
          <w:rStyle w:val="8"/>
          <w:rFonts w:hint="default" w:ascii="Times New Roman" w:hAnsi="Times New Roman" w:cs="Times New Roman"/>
          <w:b w:val="0"/>
          <w:bCs/>
          <w:i/>
          <w:iCs/>
          <w:sz w:val="24"/>
          <w:szCs w:val="24"/>
        </w:rPr>
        <w:t>pandas</w:t>
      </w:r>
      <w:r>
        <w:rPr>
          <w:rFonts w:hint="default" w:ascii="Times New Roman" w:hAnsi="Times New Roman" w:cs="Times New Roman"/>
          <w:b w:val="0"/>
          <w:bCs/>
          <w:i/>
          <w:iCs/>
          <w:sz w:val="24"/>
          <w:szCs w:val="24"/>
        </w:rPr>
        <w:t xml:space="preserve"> </w:t>
      </w:r>
      <w:r>
        <w:rPr>
          <w:rFonts w:hint="default" w:ascii="Times New Roman" w:hAnsi="Times New Roman" w:cs="Times New Roman"/>
          <w:sz w:val="24"/>
          <w:szCs w:val="24"/>
        </w:rPr>
        <w:t>(for reading and processing CSV input files),</w:t>
      </w:r>
    </w:p>
    <w:p w14:paraId="0871A00E">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ind w:left="425" w:leftChars="0" w:hanging="425" w:firstLineChars="0"/>
        <w:jc w:val="left"/>
        <w:textAlignment w:val="auto"/>
        <w:rPr>
          <w:rFonts w:hint="default" w:ascii="Times New Roman" w:hAnsi="Times New Roman" w:cs="Times New Roman"/>
          <w:sz w:val="24"/>
          <w:szCs w:val="24"/>
        </w:rPr>
      </w:pPr>
      <w:r>
        <w:rPr>
          <w:rStyle w:val="8"/>
          <w:rFonts w:hint="default" w:ascii="Times New Roman" w:hAnsi="Times New Roman" w:cs="Times New Roman"/>
          <w:b w:val="0"/>
          <w:bCs/>
          <w:i/>
          <w:iCs/>
          <w:sz w:val="24"/>
          <w:szCs w:val="24"/>
        </w:rPr>
        <w:t>asyncio</w:t>
      </w:r>
      <w:r>
        <w:rPr>
          <w:rFonts w:hint="default" w:ascii="Times New Roman" w:hAnsi="Times New Roman" w:cs="Times New Roman"/>
          <w:b w:val="0"/>
          <w:bCs/>
          <w:i/>
          <w:iCs/>
          <w:sz w:val="24"/>
          <w:szCs w:val="24"/>
        </w:rPr>
        <w:t xml:space="preserve"> </w:t>
      </w:r>
      <w:r>
        <w:rPr>
          <w:rFonts w:hint="default" w:ascii="Times New Roman" w:hAnsi="Times New Roman" w:cs="Times New Roman"/>
          <w:sz w:val="24"/>
          <w:szCs w:val="24"/>
        </w:rPr>
        <w:t>(to manage asynchronous page loading),</w:t>
      </w:r>
    </w:p>
    <w:p w14:paraId="40E5E8A5">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157" w:afterLines="50" w:afterAutospacing="0"/>
        <w:ind w:left="425" w:leftChars="0" w:hanging="425" w:firstLineChars="0"/>
        <w:jc w:val="left"/>
        <w:textAlignment w:val="auto"/>
        <w:rPr>
          <w:rFonts w:hint="default" w:ascii="Times New Roman" w:hAnsi="Times New Roman" w:cs="Times New Roman"/>
          <w:sz w:val="24"/>
          <w:szCs w:val="24"/>
        </w:rPr>
      </w:pPr>
      <w:r>
        <w:rPr>
          <w:rStyle w:val="8"/>
          <w:rFonts w:hint="default" w:ascii="Times New Roman" w:hAnsi="Times New Roman" w:cs="Times New Roman"/>
          <w:b w:val="0"/>
          <w:bCs/>
          <w:i/>
          <w:iCs/>
          <w:sz w:val="24"/>
          <w:szCs w:val="24"/>
        </w:rPr>
        <w:t>csv</w:t>
      </w:r>
      <w:r>
        <w:rPr>
          <w:rFonts w:hint="default" w:ascii="Times New Roman" w:hAnsi="Times New Roman" w:cs="Times New Roman"/>
          <w:sz w:val="24"/>
          <w:szCs w:val="24"/>
        </w:rPr>
        <w:t xml:space="preserve"> and </w:t>
      </w:r>
      <w:r>
        <w:rPr>
          <w:rStyle w:val="8"/>
          <w:rFonts w:hint="default" w:ascii="Times New Roman" w:hAnsi="Times New Roman" w:cs="Times New Roman"/>
          <w:b w:val="0"/>
          <w:bCs/>
          <w:i/>
          <w:iCs/>
          <w:sz w:val="24"/>
          <w:szCs w:val="24"/>
        </w:rPr>
        <w:t>os</w:t>
      </w:r>
      <w:r>
        <w:rPr>
          <w:rFonts w:hint="default" w:ascii="Times New Roman" w:hAnsi="Times New Roman" w:cs="Times New Roman"/>
          <w:b w:val="0"/>
          <w:bCs/>
          <w:i/>
          <w:iCs/>
          <w:sz w:val="24"/>
          <w:szCs w:val="24"/>
        </w:rPr>
        <w:t xml:space="preserve"> </w:t>
      </w:r>
      <w:r>
        <w:rPr>
          <w:rFonts w:hint="default" w:ascii="Times New Roman" w:hAnsi="Times New Roman" w:cs="Times New Roman"/>
          <w:sz w:val="24"/>
          <w:szCs w:val="24"/>
        </w:rPr>
        <w:t>(for file input/output and directory traversal).</w:t>
      </w:r>
    </w:p>
    <w:p w14:paraId="7D3395CC">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scraping script iterated over all tweet IDs extracted from the original CSV files, visited the corresponding tweet URLs, and attempted to extract the tweet text. To improve robustness, the script incorporated several safeguards, including request timeouts, short delays between page visits to reduce the risk of rate limiting, and a checkpoint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mechanism that recorded successfully processed tweet IDs. This checkpoint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system enabled </w:t>
      </w:r>
      <w:r>
        <w:rPr>
          <w:rFonts w:hint="default" w:ascii="Times New Roman" w:hAnsi="Times New Roman" w:cs="Times New Roman"/>
          <w:sz w:val="24"/>
          <w:szCs w:val="24"/>
          <w:lang w:val="en-US"/>
        </w:rPr>
        <w:t>me</w:t>
      </w:r>
      <w:r>
        <w:rPr>
          <w:rFonts w:hint="default" w:ascii="Times New Roman" w:hAnsi="Times New Roman" w:cs="Times New Roman"/>
          <w:sz w:val="24"/>
          <w:szCs w:val="24"/>
        </w:rPr>
        <w:t xml:space="preserve"> to resume from the last completed position in case of interruption, ensuring that progress was not lost during long-running executions.</w:t>
      </w:r>
    </w:p>
    <w:p w14:paraId="70250B02">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It is important to note that the majority of the Python code implementing this scraping pipeline was generated with the assistance of </w:t>
      </w:r>
      <w:r>
        <w:rPr>
          <w:rFonts w:hint="default" w:ascii="Times New Roman" w:hAnsi="Times New Roman" w:cs="Times New Roman"/>
          <w:sz w:val="24"/>
          <w:szCs w:val="24"/>
          <w:lang w:val="en-US"/>
        </w:rPr>
        <w:t>ChatGPT 5</w:t>
      </w:r>
      <w:r>
        <w:rPr>
          <w:rFonts w:hint="default" w:ascii="Times New Roman" w:hAnsi="Times New Roman" w:cs="Times New Roman"/>
          <w:sz w:val="24"/>
          <w:szCs w:val="24"/>
        </w:rPr>
        <w:t>. My own contribution focused on adapting the generated code to my specific data structure, adjusting parameters such as timeout length and request delays, specifying file paths, and validating intermediate outputs. I also executed, monitored, and debugged the data collection process iteratively to ensure that the script ran successfully over a large number of observations.</w:t>
      </w:r>
    </w:p>
    <w:p w14:paraId="0E14B8E7">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total, </w:t>
      </w:r>
      <w:r>
        <w:rPr>
          <w:rFonts w:hint="default" w:ascii="Times New Roman" w:hAnsi="Times New Roman" w:cs="Times New Roman"/>
          <w:sz w:val="24"/>
          <w:szCs w:val="24"/>
          <w:lang w:val="en-US"/>
        </w:rPr>
        <w:t xml:space="preserve">after running for more than 60 hours, </w:t>
      </w:r>
      <w:r>
        <w:rPr>
          <w:rFonts w:hint="default" w:ascii="Times New Roman" w:hAnsi="Times New Roman" w:cs="Times New Roman"/>
          <w:sz w:val="24"/>
          <w:szCs w:val="24"/>
        </w:rPr>
        <w:t>the script attempted to retrieve over 52,</w:t>
      </w:r>
      <w:r>
        <w:rPr>
          <w:rFonts w:hint="default" w:ascii="Times New Roman" w:hAnsi="Times New Roman" w:cs="Times New Roman"/>
          <w:sz w:val="24"/>
          <w:szCs w:val="24"/>
          <w:lang w:val="en-US"/>
        </w:rPr>
        <w:t>358</w:t>
      </w:r>
      <w:r>
        <w:rPr>
          <w:rFonts w:hint="default" w:ascii="Times New Roman" w:hAnsi="Times New Roman" w:cs="Times New Roman"/>
          <w:sz w:val="24"/>
          <w:szCs w:val="24"/>
        </w:rPr>
        <w:t xml:space="preserve"> tweets</w:t>
      </w:r>
      <w:r>
        <w:rPr>
          <w:rFonts w:hint="default" w:ascii="Times New Roman" w:hAnsi="Times New Roman" w:cs="Times New Roman"/>
          <w:sz w:val="24"/>
          <w:szCs w:val="24"/>
          <w:lang w:val="en-US"/>
        </w:rPr>
        <w:t xml:space="preserve"> in 2024</w:t>
      </w:r>
      <w:r>
        <w:rPr>
          <w:rFonts w:hint="default" w:ascii="Times New Roman" w:hAnsi="Times New Roman" w:cs="Times New Roman"/>
          <w:sz w:val="24"/>
          <w:szCs w:val="24"/>
        </w:rPr>
        <w:t>. Due to platform rate limiting, deleted posts, private accounts, and network timeouts, not all tweets could be recovered. Approximately 61% of the attempted tweets</w:t>
      </w:r>
      <w:r>
        <w:rPr>
          <w:rFonts w:hint="default" w:ascii="Times New Roman" w:hAnsi="Times New Roman" w:cs="Times New Roman"/>
          <w:sz w:val="24"/>
          <w:szCs w:val="24"/>
          <w:lang w:val="en-US"/>
        </w:rPr>
        <w:t>(31,870)</w:t>
      </w:r>
      <w:r>
        <w:rPr>
          <w:rFonts w:hint="default" w:ascii="Times New Roman" w:hAnsi="Times New Roman" w:cs="Times New Roman"/>
          <w:sz w:val="24"/>
          <w:szCs w:val="24"/>
        </w:rPr>
        <w:t xml:space="preserve"> were successfully retrieved with valid text content. Despite this level of missingness, the resulting data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set contains a substantial number of high-quality textual observations and provides a consistent raw-text foundation for subsequent analysis</w:t>
      </w:r>
      <w:r>
        <w:rPr>
          <w:rStyle w:val="11"/>
          <w:rFonts w:hint="default" w:ascii="Times New Roman" w:hAnsi="Times New Roman" w:cs="Times New Roman"/>
          <w:sz w:val="24"/>
          <w:szCs w:val="24"/>
        </w:rPr>
        <w:footnoteReference w:id="0"/>
      </w:r>
      <w:r>
        <w:rPr>
          <w:rFonts w:hint="default" w:ascii="Times New Roman" w:hAnsi="Times New Roman" w:cs="Times New Roman"/>
          <w:sz w:val="24"/>
          <w:szCs w:val="24"/>
        </w:rPr>
        <w:t>.</w:t>
      </w:r>
    </w:p>
    <w:p w14:paraId="5D67D826">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Apart from the data obtained from X, I also used the tweets_congress data for application. I downloaded this data set from our course page. I’m not sure how to cite it, so I mentioned here as a footnote.</w:t>
      </w:r>
    </w:p>
    <w:p w14:paraId="43B00ADD">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Method</w:t>
      </w:r>
    </w:p>
    <w:p w14:paraId="62BC1E19">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Preprocessing</w:t>
      </w:r>
    </w:p>
    <w:p w14:paraId="67532F6A">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With these raw tweets collected, I began with the preprocess of data. Firstly, because tweets are extremely short and often fragmented, I first aggregated the data by author and by week. All tweets posted by the same official within the same week were merged into a single document. This gives me more stable linguistic units and reduces noise from casual one-off tweets. Once the aggregation was complete, I merged additional metadata about each official such as their party affiliation. </w:t>
      </w:r>
    </w:p>
    <w:p w14:paraId="44F5C31B">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After preparing the text, I constructed a corpus with these aggregated tweets and preprocessed it through typical steps(tokenized the documents, removed punctuation, numbers, stopwords, and very short tokens, and converted everything to lowercase...). Then I built a document feature matrix (DFM) and trimmed extremely rare terms to reduce sparsity. Because the topic model implementation I used requires the document-term matrix format(DTM), I converted the DFM to that structure.</w:t>
      </w:r>
    </w:p>
    <w:p w14:paraId="0F464EF4">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Building the Topic Model</w:t>
      </w:r>
    </w:p>
    <w:p w14:paraId="7DD3F9D7">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With the document-term matrix ready, I fitted an LDA topic model. As a generative probabilistic model that represents documents as mixtures of latent topics, the goal of  an LDA is to infer the latent topic structure—that is, the topic proportions for each document, the topic assignment for each word, and the word distributions that define each topic (Blei, Ng, and Jordan 2003).</w:t>
      </w:r>
    </w:p>
    <w:p w14:paraId="1A1A850B">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Formally, the two key distributions in LDA are:</w:t>
      </w:r>
    </w:p>
    <w:p w14:paraId="42EE168C">
      <w:pPr>
        <w:keepNext w:val="0"/>
        <w:keepLines w:val="0"/>
        <w:pageBreakBefore w:val="0"/>
        <w:widowControl w:val="0"/>
        <w:numPr>
          <w:ilvl w:val="0"/>
          <w:numId w:val="2"/>
        </w:numPr>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Document–topic distribution</w:t>
      </w:r>
    </w:p>
    <w:p w14:paraId="5B0E9B38">
      <w:pPr>
        <w:keepNext w:val="0"/>
        <w:keepLines w:val="0"/>
        <w:pageBreakBefore w:val="0"/>
        <w:widowControl w:val="0"/>
        <w:numPr>
          <w:ilvl w:val="0"/>
          <w:numId w:val="0"/>
        </w:numPr>
        <w:kinsoku/>
        <w:wordWrap/>
        <w:overflowPunct/>
        <w:topLinePunct w:val="0"/>
        <w:autoSpaceDE/>
        <w:autoSpaceDN/>
        <w:bidi w:val="0"/>
        <w:adjustRightInd/>
        <w:snapToGrid/>
        <w:spacing w:beforeAutospacing="0" w:after="157" w:afterLines="50" w:afterAutospacing="0" w:line="240" w:lineRule="auto"/>
        <w:jc w:val="center"/>
        <w:textAlignment w:val="auto"/>
        <w:rPr>
          <w:rFonts w:hint="default" w:ascii="Times New Roman" w:hAnsi="Times New Roman" w:cs="Times New Roman"/>
          <w:b w:val="0"/>
          <w:bCs w:val="0"/>
          <w:sz w:val="24"/>
          <w:szCs w:val="24"/>
          <w:lang w:val="en-US" w:eastAsia="zh-CN"/>
        </w:rPr>
      </w:pPr>
      <m:oMathPara>
        <m:oMath>
          <m:sSub>
            <m:sSubPr>
              <m:ctrlPr>
                <w:rPr>
                  <w:rFonts w:hint="default" w:ascii="Cambria Math" w:hAnsi="Cambria Math" w:cs="Times New Roman"/>
                  <w:bCs w:val="0"/>
                  <w:i/>
                  <w:sz w:val="24"/>
                  <w:szCs w:val="24"/>
                  <w:lang w:val="en-US"/>
                </w:rPr>
              </m:ctrlPr>
            </m:sSubPr>
            <m:e>
              <m:r>
                <m:rPr>
                  <m:nor/>
                </m:rPr>
                <w:rPr>
                  <w:rFonts w:hint="default" w:ascii="Times New Roman" w:hAnsi="Times New Roman" w:cs="Times New Roman"/>
                  <w:i/>
                  <w:sz w:val="24"/>
                  <w:szCs w:val="24"/>
                  <w:lang w:val="en-US"/>
                </w:rPr>
                <m:t>θ</m:t>
              </m:r>
              <m:ctrlPr>
                <w:rPr>
                  <w:rFonts w:hint="default" w:ascii="Cambria Math" w:hAnsi="Cambria Math" w:cs="Times New Roman"/>
                  <w:bCs w:val="0"/>
                  <w:i/>
                  <w:sz w:val="24"/>
                  <w:szCs w:val="24"/>
                  <w:lang w:val="en-US"/>
                </w:rPr>
              </m:ctrlPr>
            </m:e>
            <m:sub>
              <m:r>
                <m:rPr>
                  <m:nor/>
                </m:rPr>
                <w:rPr>
                  <w:rFonts w:hint="default" w:ascii="Times New Roman" w:hAnsi="Times New Roman" w:cs="Times New Roman"/>
                  <w:i/>
                  <w:sz w:val="24"/>
                  <w:szCs w:val="24"/>
                  <w:lang w:val="en-US"/>
                </w:rPr>
                <m:t>d</m:t>
              </m:r>
              <m:ctrlPr>
                <w:rPr>
                  <w:rFonts w:hint="default" w:ascii="Cambria Math" w:hAnsi="Cambria Math" w:cs="Times New Roman"/>
                  <w:bCs w:val="0"/>
                  <w:i/>
                  <w:sz w:val="24"/>
                  <w:szCs w:val="24"/>
                  <w:lang w:val="en-US"/>
                </w:rPr>
              </m:ctrlPr>
            </m:sub>
          </m:sSub>
          <m:r>
            <m:rPr>
              <m:nor/>
              <m:sty m:val="p"/>
            </m:rPr>
            <w:rPr>
              <w:rFonts w:hint="default" w:ascii="Times New Roman" w:hAnsi="Times New Roman" w:cs="Times New Roman"/>
              <w:b w:val="0"/>
              <w:i w:val="0"/>
              <w:sz w:val="24"/>
              <w:szCs w:val="24"/>
              <w:lang w:val="en-US"/>
            </w:rPr>
            <m:t>~</m:t>
          </m:r>
          <m:r>
            <m:rPr>
              <m:nor/>
            </m:rPr>
            <w:rPr>
              <w:rFonts w:hint="default" w:ascii="Times New Roman" w:hAnsi="Times New Roman" w:cs="Times New Roman"/>
              <w:i/>
              <w:sz w:val="24"/>
              <w:szCs w:val="24"/>
              <w:lang w:val="en-US"/>
            </w:rPr>
            <m:t>Diric</m:t>
          </m:r>
          <m:r>
            <m:rPr>
              <m:nor/>
              <m:sty m:val="p"/>
            </m:rPr>
            <w:rPr>
              <w:rFonts w:hint="default" w:ascii="Times New Roman" w:hAnsi="Times New Roman" w:cs="Times New Roman"/>
              <w:b w:val="0"/>
              <w:i w:val="0"/>
              <w:sz w:val="24"/>
              <w:szCs w:val="24"/>
              <w:lang w:val="en-US"/>
            </w:rPr>
            <m:t>h</m:t>
          </m:r>
          <m:r>
            <m:rPr>
              <m:nor/>
            </m:rPr>
            <w:rPr>
              <w:rFonts w:hint="default" w:ascii="Times New Roman" w:hAnsi="Times New Roman" w:cs="Times New Roman"/>
              <w:i/>
              <w:sz w:val="24"/>
              <w:szCs w:val="24"/>
              <w:lang w:val="en-US"/>
            </w:rPr>
            <m:t>let</m:t>
          </m:r>
          <m:r>
            <m:rPr>
              <m:nor/>
              <m:sty m:val="p"/>
            </m:rPr>
            <w:rPr>
              <w:rFonts w:hint="default" w:ascii="Times New Roman" w:hAnsi="Times New Roman" w:cs="Times New Roman"/>
              <w:b w:val="0"/>
              <w:i w:val="0"/>
              <w:sz w:val="24"/>
              <w:szCs w:val="24"/>
              <w:lang w:val="en-US"/>
            </w:rPr>
            <m:t>(</m:t>
          </m:r>
          <m:r>
            <m:rPr>
              <m:nor/>
            </m:rPr>
            <w:rPr>
              <w:rFonts w:hint="default" w:ascii="Times New Roman" w:hAnsi="Times New Roman" w:cs="Times New Roman"/>
              <w:i/>
              <w:sz w:val="24"/>
              <w:szCs w:val="24"/>
              <w:lang w:val="en-US"/>
            </w:rPr>
            <m:t>α</m:t>
          </m:r>
          <m:r>
            <m:rPr>
              <m:nor/>
              <m:sty m:val="p"/>
            </m:rPr>
            <w:rPr>
              <w:rFonts w:hint="default" w:ascii="Times New Roman" w:hAnsi="Times New Roman" w:cs="Times New Roman"/>
              <w:b w:val="0"/>
              <w:i w:val="0"/>
              <w:sz w:val="24"/>
              <w:szCs w:val="24"/>
              <w:lang w:val="en-US"/>
            </w:rPr>
            <m:t>)</m:t>
          </m:r>
        </m:oMath>
      </m:oMathPara>
    </w:p>
    <w:p w14:paraId="6FA8042C">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where </w:t>
      </w:r>
      <m:oMath>
        <m:sSub>
          <m:sSubPr>
            <m:ctrlPr>
              <w:rPr>
                <w:rFonts w:hint="default" w:ascii="Cambria Math" w:hAnsi="Cambria Math" w:cs="Times New Roman"/>
                <w:bCs w:val="0"/>
                <w:i/>
                <w:sz w:val="24"/>
                <w:szCs w:val="24"/>
                <w:lang w:val="en-US"/>
              </w:rPr>
            </m:ctrlPr>
          </m:sSubPr>
          <m:e>
            <m:r>
              <m:rPr>
                <m:nor/>
              </m:rPr>
              <w:rPr>
                <w:rFonts w:hint="default" w:ascii="Times New Roman" w:hAnsi="Times New Roman" w:cs="Times New Roman"/>
                <w:i/>
                <w:sz w:val="24"/>
                <w:szCs w:val="24"/>
                <w:lang w:val="en-US"/>
              </w:rPr>
              <m:t>θ</m:t>
            </m:r>
            <m:ctrlPr>
              <w:rPr>
                <w:rFonts w:hint="default" w:ascii="Cambria Math" w:hAnsi="Cambria Math" w:cs="Times New Roman"/>
                <w:bCs w:val="0"/>
                <w:i/>
                <w:sz w:val="24"/>
                <w:szCs w:val="24"/>
                <w:lang w:val="en-US"/>
              </w:rPr>
            </m:ctrlPr>
          </m:e>
          <m:sub>
            <m:r>
              <m:rPr>
                <m:nor/>
              </m:rPr>
              <w:rPr>
                <w:rFonts w:hint="default" w:ascii="Times New Roman" w:hAnsi="Times New Roman" w:cs="Times New Roman"/>
                <w:i/>
                <w:sz w:val="24"/>
                <w:szCs w:val="24"/>
                <w:lang w:val="en-US"/>
              </w:rPr>
              <m:t>d</m:t>
            </m:r>
            <m:ctrlPr>
              <w:rPr>
                <w:rFonts w:hint="default" w:ascii="Cambria Math" w:hAnsi="Cambria Math" w:cs="Times New Roman"/>
                <w:bCs w:val="0"/>
                <w:i/>
                <w:sz w:val="24"/>
                <w:szCs w:val="24"/>
                <w:lang w:val="en-US"/>
              </w:rPr>
            </m:ctrlPr>
          </m:sub>
        </m:sSub>
      </m:oMath>
      <w:r>
        <w:rPr>
          <w:rFonts w:hint="default" w:ascii="Times New Roman" w:hAnsi="Times New Roman" w:cs="Times New Roman"/>
          <w:b w:val="0"/>
          <w:bCs w:val="0"/>
          <w:sz w:val="24"/>
          <w:szCs w:val="24"/>
          <w:lang w:val="en-US" w:eastAsia="zh-CN"/>
        </w:rPr>
        <w:t xml:space="preserve"> is the topic proportion vector for document </w:t>
      </w:r>
      <w:r>
        <w:rPr>
          <w:rFonts w:hint="default" w:ascii="Times New Roman" w:hAnsi="Times New Roman" w:cs="Times New Roman"/>
          <w:b w:val="0"/>
          <w:bCs w:val="0"/>
          <w:i/>
          <w:iCs/>
          <w:sz w:val="24"/>
          <w:szCs w:val="24"/>
          <w:lang w:val="en-US" w:eastAsia="zh-CN"/>
        </w:rPr>
        <w:t>d</w:t>
      </w:r>
      <w:r>
        <w:rPr>
          <w:rFonts w:hint="default" w:ascii="Times New Roman" w:hAnsi="Times New Roman" w:cs="Times New Roman"/>
          <w:b w:val="0"/>
          <w:bCs w:val="0"/>
          <w:sz w:val="24"/>
          <w:szCs w:val="24"/>
          <w:lang w:val="en-US" w:eastAsia="zh-CN"/>
        </w:rPr>
        <w:t xml:space="preserve">, and </w:t>
      </w:r>
      <w:r>
        <w:rPr>
          <w:rFonts w:hint="default" w:ascii="Times New Roman" w:hAnsi="Times New Roman" w:cs="Times New Roman"/>
          <w:b w:val="0"/>
          <w:bCs w:val="0"/>
          <w:i/>
          <w:iCs/>
          <w:sz w:val="24"/>
          <w:szCs w:val="24"/>
          <w:lang w:val="en-US" w:eastAsia="zh-CN"/>
        </w:rPr>
        <w:t>α</w:t>
      </w:r>
      <w:r>
        <w:rPr>
          <w:rFonts w:hint="default" w:ascii="Times New Roman" w:hAnsi="Times New Roman" w:cs="Times New Roman"/>
          <w:b w:val="0"/>
          <w:bCs w:val="0"/>
          <w:sz w:val="24"/>
          <w:szCs w:val="24"/>
          <w:lang w:val="en-US" w:eastAsia="zh-CN"/>
        </w:rPr>
        <w:t xml:space="preserve"> is a hyperparameter controlling how concentrated or diffuse topic mixtures are across documents.</w:t>
      </w:r>
    </w:p>
    <w:p w14:paraId="56A4088C">
      <w:pPr>
        <w:keepNext w:val="0"/>
        <w:keepLines w:val="0"/>
        <w:pageBreakBefore w:val="0"/>
        <w:widowControl w:val="0"/>
        <w:numPr>
          <w:ilvl w:val="0"/>
          <w:numId w:val="2"/>
        </w:numPr>
        <w:kinsoku/>
        <w:wordWrap/>
        <w:overflowPunct/>
        <w:topLinePunct w:val="0"/>
        <w:autoSpaceDE/>
        <w:autoSpaceDN/>
        <w:bidi w:val="0"/>
        <w:adjustRightInd/>
        <w:snapToGrid/>
        <w:spacing w:beforeAutospacing="0" w:after="157" w:afterLines="50" w:afterAutospacing="0" w:line="240" w:lineRule="auto"/>
        <w:ind w:left="0" w:leftChars="0" w:firstLine="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Topic–word distribution</w:t>
      </w:r>
    </w:p>
    <w:p w14:paraId="47AE58B0">
      <w:pPr>
        <w:keepNext w:val="0"/>
        <w:keepLines w:val="0"/>
        <w:pageBreakBefore w:val="0"/>
        <w:widowControl w:val="0"/>
        <w:numPr>
          <w:ilvl w:val="0"/>
          <w:numId w:val="0"/>
        </w:numPr>
        <w:kinsoku/>
        <w:wordWrap/>
        <w:overflowPunct/>
        <w:topLinePunct w:val="0"/>
        <w:autoSpaceDE/>
        <w:autoSpaceDN/>
        <w:bidi w:val="0"/>
        <w:adjustRightInd/>
        <w:snapToGrid/>
        <w:spacing w:beforeAutospacing="0" w:after="157" w:afterLines="50" w:afterAutospacing="0" w:line="240" w:lineRule="auto"/>
        <w:ind w:leftChars="0"/>
        <w:jc w:val="center"/>
        <w:textAlignment w:val="auto"/>
        <w:rPr>
          <w:rFonts w:hint="default" w:ascii="Times New Roman" w:hAnsi="Times New Roman" w:cs="Times New Roman"/>
          <w:b w:val="0"/>
          <w:bCs w:val="0"/>
          <w:sz w:val="24"/>
          <w:szCs w:val="24"/>
          <w:lang w:val="en-US" w:eastAsia="zh-CN"/>
        </w:rPr>
      </w:pPr>
      <m:oMathPara>
        <m:oMath>
          <m:sSub>
            <m:sSubPr>
              <m:ctrlPr>
                <w:rPr>
                  <w:rFonts w:hint="default" w:ascii="Cambria Math" w:hAnsi="Cambria Math" w:cs="Times New Roman"/>
                  <w:bCs w:val="0"/>
                  <w:sz w:val="24"/>
                  <w:szCs w:val="24"/>
                  <w:lang w:val="en-US"/>
                </w:rPr>
              </m:ctrlPr>
            </m:sSubPr>
            <m:e>
              <m:r>
                <m:rPr>
                  <m:sty m:val="p"/>
                </m:rPr>
                <w:rPr>
                  <w:rFonts w:ascii="Cambria Math" w:hAnsi="Cambria Math" w:cs="Times New Roman"/>
                  <w:sz w:val="24"/>
                  <w:szCs w:val="24"/>
                  <w:lang w:val="en-US"/>
                </w:rPr>
                <m:t>ϕ</m:t>
              </m:r>
              <m:ctrlPr>
                <w:rPr>
                  <w:rFonts w:hint="default" w:ascii="Cambria Math" w:hAnsi="Cambria Math" w:cs="Times New Roman"/>
                  <w:bCs w:val="0"/>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bCs w:val="0"/>
                  <w:i/>
                  <w:sz w:val="24"/>
                  <w:szCs w:val="24"/>
                  <w:lang w:val="en-US"/>
                </w:rPr>
              </m:ctrlPr>
            </m:sub>
          </m:sSub>
          <m:r>
            <m:rPr>
              <m:nor/>
              <m:sty m:val="p"/>
            </m:rPr>
            <w:rPr>
              <w:rFonts w:hint="default" w:ascii="Times New Roman" w:hAnsi="Times New Roman" w:cs="Times New Roman"/>
              <w:b w:val="0"/>
              <w:i w:val="0"/>
              <w:sz w:val="24"/>
              <w:szCs w:val="24"/>
              <w:lang w:val="en-US"/>
            </w:rPr>
            <m:t>~</m:t>
          </m:r>
          <m:r>
            <m:rPr>
              <m:nor/>
            </m:rPr>
            <w:rPr>
              <w:rFonts w:hint="default" w:ascii="Times New Roman" w:hAnsi="Times New Roman" w:cs="Times New Roman"/>
              <w:i/>
              <w:sz w:val="24"/>
              <w:szCs w:val="24"/>
              <w:lang w:val="en-US"/>
            </w:rPr>
            <m:t>Diric</m:t>
          </m:r>
          <m:r>
            <m:rPr>
              <m:nor/>
              <m:sty m:val="p"/>
            </m:rPr>
            <w:rPr>
              <w:rFonts w:hint="default" w:ascii="Times New Roman" w:hAnsi="Times New Roman" w:cs="Times New Roman"/>
              <w:b w:val="0"/>
              <w:i w:val="0"/>
              <w:sz w:val="24"/>
              <w:szCs w:val="24"/>
              <w:lang w:val="en-US"/>
            </w:rPr>
            <m:t>h</m:t>
          </m:r>
          <m:r>
            <m:rPr>
              <m:nor/>
            </m:rPr>
            <w:rPr>
              <w:rFonts w:hint="default" w:ascii="Times New Roman" w:hAnsi="Times New Roman" w:cs="Times New Roman"/>
              <w:i/>
              <w:sz w:val="24"/>
              <w:szCs w:val="24"/>
              <w:lang w:val="en-US"/>
            </w:rPr>
            <m:t>let</m:t>
          </m:r>
          <m:r>
            <m:rPr>
              <m:nor/>
              <m:sty m:val="p"/>
            </m:rPr>
            <w:rPr>
              <w:rFonts w:hint="default" w:ascii="Times New Roman" w:hAnsi="Times New Roman" w:cs="Times New Roman"/>
              <w:b w:val="0"/>
              <w:i w:val="0"/>
              <w:sz w:val="24"/>
              <w:szCs w:val="24"/>
              <w:lang w:val="en-US"/>
            </w:rPr>
            <m:t>(</m:t>
          </m:r>
          <m:r>
            <m:rPr>
              <m:nor/>
            </m:rPr>
            <w:rPr>
              <w:rFonts w:hint="default" w:ascii="Times New Roman" w:hAnsi="Times New Roman" w:cs="Times New Roman"/>
              <w:i/>
              <w:sz w:val="24"/>
              <w:szCs w:val="24"/>
              <w:lang w:val="en-US"/>
            </w:rPr>
            <m:t>β</m:t>
          </m:r>
          <m:r>
            <m:rPr>
              <m:nor/>
              <m:sty m:val="p"/>
            </m:rPr>
            <w:rPr>
              <w:rFonts w:hint="default" w:ascii="Times New Roman" w:hAnsi="Times New Roman" w:cs="Times New Roman"/>
              <w:b w:val="0"/>
              <w:i w:val="0"/>
              <w:sz w:val="24"/>
              <w:szCs w:val="24"/>
              <w:lang w:val="en-US"/>
            </w:rPr>
            <m:t>)</m:t>
          </m:r>
        </m:oMath>
      </m:oMathPara>
    </w:p>
    <w:p w14:paraId="3FB04FE0">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where </w:t>
      </w:r>
      <m:oMath>
        <m:sSub>
          <m:sSubPr>
            <m:ctrlPr>
              <w:rPr>
                <w:rFonts w:hint="default" w:ascii="Cambria Math" w:hAnsi="Cambria Math" w:cs="Times New Roman"/>
                <w:bCs w:val="0"/>
                <w:i/>
                <w:sz w:val="24"/>
                <w:szCs w:val="24"/>
                <w:lang w:val="en-US"/>
              </w:rPr>
            </m:ctrlPr>
          </m:sSubPr>
          <m:e>
            <m:r>
              <m:rPr>
                <m:nor/>
                <m:sty m:val="p"/>
              </m:rPr>
              <w:rPr>
                <w:rFonts w:hint="default" w:ascii="Times New Roman" w:hAnsi="Times New Roman" w:cs="Times New Roman"/>
                <w:b w:val="0"/>
                <w:i w:val="0"/>
                <w:sz w:val="24"/>
                <w:szCs w:val="24"/>
                <w:lang w:val="en-US"/>
              </w:rPr>
              <m:t>ϕ</m:t>
            </m:r>
            <m:ctrlPr>
              <w:rPr>
                <w:rFonts w:hint="default" w:ascii="Cambria Math" w:hAnsi="Cambria Math" w:cs="Times New Roman"/>
                <w:bCs w:val="0"/>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bCs w:val="0"/>
                <w:i/>
                <w:sz w:val="24"/>
                <w:szCs w:val="24"/>
                <w:lang w:val="en-US"/>
              </w:rPr>
            </m:ctrlPr>
          </m:sub>
        </m:sSub>
      </m:oMath>
      <w:r>
        <w:rPr>
          <w:rFonts w:hint="default" w:ascii="Times New Roman" w:hAnsi="Times New Roman" w:cs="Times New Roman"/>
          <w:b w:val="0"/>
          <w:bCs w:val="0"/>
          <w:sz w:val="24"/>
          <w:szCs w:val="24"/>
          <w:lang w:val="en-US" w:eastAsia="zh-CN"/>
        </w:rPr>
        <w:t xml:space="preserve"> is the word distribution for topic </w:t>
      </w:r>
      <w:r>
        <w:rPr>
          <w:rFonts w:hint="default" w:ascii="Times New Roman" w:hAnsi="Times New Roman" w:cs="Times New Roman"/>
          <w:b w:val="0"/>
          <w:bCs w:val="0"/>
          <w:i/>
          <w:iCs/>
          <w:sz w:val="24"/>
          <w:szCs w:val="24"/>
          <w:lang w:val="en-US" w:eastAsia="zh-CN"/>
        </w:rPr>
        <w:t>k</w:t>
      </w:r>
      <w:r>
        <w:rPr>
          <w:rFonts w:hint="default" w:ascii="Times New Roman" w:hAnsi="Times New Roman" w:cs="Times New Roman"/>
          <w:b w:val="0"/>
          <w:bCs w:val="0"/>
          <w:sz w:val="24"/>
          <w:szCs w:val="24"/>
          <w:lang w:val="en-US" w:eastAsia="zh-CN"/>
        </w:rPr>
        <w:t xml:space="preserve">, and </w:t>
      </w:r>
      <w:r>
        <w:rPr>
          <w:rFonts w:hint="default" w:ascii="Times New Roman" w:hAnsi="Times New Roman" w:cs="Times New Roman"/>
          <w:b w:val="0"/>
          <w:bCs w:val="0"/>
          <w:i/>
          <w:iCs/>
          <w:sz w:val="24"/>
          <w:szCs w:val="24"/>
          <w:lang w:val="en-US" w:eastAsia="zh-CN"/>
        </w:rPr>
        <w:t>β</w:t>
      </w:r>
      <w:r>
        <w:rPr>
          <w:rFonts w:hint="default" w:ascii="Times New Roman" w:hAnsi="Times New Roman" w:cs="Times New Roman"/>
          <w:b w:val="0"/>
          <w:bCs w:val="0"/>
          <w:sz w:val="24"/>
          <w:szCs w:val="24"/>
          <w:lang w:val="en-US" w:eastAsia="zh-CN"/>
        </w:rPr>
        <w:t xml:space="preserve"> is a hyperparameter controlling how concentrated topics are over the vocabulary. </w:t>
      </w:r>
    </w:p>
    <w:p w14:paraId="76E7130A">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In an unsupervised machine learning modeling process, there is also a hyperparameter which must be manually set: the number of topics in the corpus (K). I used the same techniques as </w:t>
      </w:r>
      <w:r>
        <w:rPr>
          <w:rFonts w:hint="default" w:ascii="Times New Roman" w:hAnsi="Times New Roman" w:cs="Times New Roman"/>
          <w:sz w:val="24"/>
          <w:szCs w:val="24"/>
          <w:lang w:val="en-US" w:eastAsia="zh-CN"/>
        </w:rPr>
        <w:t>Barberá et al</w:t>
      </w:r>
      <w:r>
        <w:rPr>
          <w:rFonts w:hint="default" w:ascii="Times New Roman" w:hAnsi="Times New Roman" w:cs="Times New Roman"/>
          <w:b w:val="0"/>
          <w:bCs w:val="0"/>
          <w:sz w:val="24"/>
          <w:szCs w:val="24"/>
          <w:lang w:val="en-US" w:eastAsia="zh-CN"/>
        </w:rPr>
        <w:t xml:space="preserve"> (2019) to do the cross validation and chose the K. It calculates two metrics of model performance and visualizes them as the ratio with regard to the worst value. The two metrics in Figure 1, log likelihood and perplexity are both optimal when the number of topics is around 30. Therefore, I chose K=30, which means the LDA model would contain 30 latent topics, and built the LDA model. </w:t>
      </w:r>
    </w:p>
    <w:p w14:paraId="703C6B9A">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p>
    <w:p w14:paraId="57F7CEFE">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3761740" cy="2508250"/>
            <wp:effectExtent l="0" t="0" r="2540" b="6350"/>
            <wp:docPr id="1" name="图片 1" descr="appendix-choosing-k-officialweek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ppendix-choosing-k-officialweek_01"/>
                    <pic:cNvPicPr>
                      <a:picLocks noChangeAspect="1"/>
                    </pic:cNvPicPr>
                  </pic:nvPicPr>
                  <pic:blipFill>
                    <a:blip r:embed="rId5"/>
                    <a:stretch>
                      <a:fillRect/>
                    </a:stretch>
                  </pic:blipFill>
                  <pic:spPr>
                    <a:xfrm>
                      <a:off x="0" y="0"/>
                      <a:ext cx="3761740" cy="2508250"/>
                    </a:xfrm>
                    <a:prstGeom prst="rect">
                      <a:avLst/>
                    </a:prstGeom>
                  </pic:spPr>
                </pic:pic>
              </a:graphicData>
            </a:graphic>
          </wp:inline>
        </w:drawing>
      </w:r>
    </w:p>
    <w:p w14:paraId="094601BF">
      <w:pPr>
        <w:pStyle w:val="3"/>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p w14:paraId="3E324A55">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Labeling</w:t>
      </w:r>
    </w:p>
    <w:p w14:paraId="23673540">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eastAsia"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At this stage, the model provides a purely statistical decomposition of the corpus, but it does not yet tell us anything about the federal, state, or local semantics we care about. To bridge that gap, I incorporated word embeddings. I used the GloVe 300-dimensional embeddings, which give vector representations of words based on their distributional semantics. To assign each topic a federal, state, or local score, I compared the topic’s word distribution to the embeddings of the words “federal” ,“state” and “local”. Concretely, for each topic, I weighted the cosine similarity between every word in the vocabulary and one of these three dimension words by the probability distribution of words in the topic</w:t>
      </w:r>
      <m:oMath>
        <m:sSub>
          <m:sSubPr>
            <m:ctrlPr>
              <w:rPr>
                <w:rFonts w:hint="default" w:ascii="Cambria Math" w:hAnsi="Cambria Math" w:cs="Times New Roman"/>
                <w:bCs w:val="0"/>
                <w:i/>
                <w:sz w:val="24"/>
                <w:szCs w:val="24"/>
                <w:lang w:val="en-US"/>
              </w:rPr>
            </m:ctrlPr>
          </m:sSubPr>
          <m:e>
            <m:r>
              <m:rPr>
                <m:nor/>
                <m:sty m:val="p"/>
              </m:rPr>
              <w:rPr>
                <w:rFonts w:hint="default" w:ascii="Cambria Math" w:hAnsi="Cambria Math" w:cs="Times New Roman"/>
                <w:b w:val="0"/>
                <w:bCs w:val="0"/>
                <w:i w:val="0"/>
                <w:sz w:val="24"/>
                <w:szCs w:val="24"/>
                <w:lang w:val="en-US"/>
              </w:rPr>
              <m:t xml:space="preserve"> (</m:t>
            </m:r>
            <m:r>
              <m:rPr>
                <m:nor/>
                <m:sty m:val="p"/>
              </m:rPr>
              <w:rPr>
                <w:rFonts w:ascii="Cambria Math" w:hAnsi="Cambria Math" w:cs="Times New Roman"/>
                <w:b w:val="0"/>
                <w:bCs w:val="0"/>
                <w:i w:val="0"/>
                <w:sz w:val="24"/>
                <w:szCs w:val="24"/>
                <w:lang w:val="en-US"/>
              </w:rPr>
              <m:t>ϕ</m:t>
            </m:r>
            <m:ctrlPr>
              <w:rPr>
                <w:rFonts w:hint="default" w:ascii="Cambria Math" w:hAnsi="Cambria Math" w:cs="Times New Roman"/>
                <w:bCs w:val="0"/>
                <w:i/>
                <w:sz w:val="24"/>
                <w:szCs w:val="24"/>
                <w:lang w:val="en-US"/>
              </w:rPr>
            </m:ctrlPr>
          </m:e>
          <m:sub>
            <m:r>
              <m:rPr>
                <m:nor/>
              </m:rPr>
              <w:rPr>
                <w:rFonts w:hint="default" w:ascii="Times New Roman" w:hAnsi="Times New Roman" w:cs="Times New Roman"/>
                <w:i/>
                <w:sz w:val="24"/>
                <w:szCs w:val="24"/>
                <w:lang w:val="en-US"/>
              </w:rPr>
              <m:t>k</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rPr>
          <m:t>)</m:t>
        </m:r>
      </m:oMath>
      <w:r>
        <w:rPr>
          <w:rFonts w:hint="default" w:ascii="Times New Roman" w:hAnsi="Times New Roman" w:cs="Times New Roman"/>
          <w:b w:val="0"/>
          <w:bCs w:val="0"/>
          <w:i w:val="0"/>
          <w:iCs w:val="0"/>
          <w:sz w:val="24"/>
          <w:szCs w:val="24"/>
          <w:lang w:val="en-US" w:eastAsia="zh-CN"/>
        </w:rPr>
        <w:t xml:space="preserve"> . This produces a numerical measure of how closely a topic aligns with federal-level language, state-level language, or local-level language</w:t>
      </w:r>
      <w:r>
        <w:rPr>
          <w:rFonts w:hint="eastAsia" w:ascii="Times New Roman" w:hAnsi="Times New Roman" w:cs="Times New Roman"/>
          <w:b w:val="0"/>
          <w:bCs w:val="0"/>
          <w:i w:val="0"/>
          <w:iCs w:val="0"/>
          <w:sz w:val="24"/>
          <w:szCs w:val="24"/>
          <w:lang w:val="en-US" w:eastAsia="zh-CN"/>
        </w:rPr>
        <w:t>：</w:t>
      </w:r>
    </w:p>
    <w:p w14:paraId="0E357E8B">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hAnsi="Cambria Math" w:cs="Cambria Math"/>
          <w:bCs w:val="0"/>
          <w:i w:val="0"/>
          <w:iCs w:val="0"/>
          <w:sz w:val="24"/>
          <w:szCs w:val="24"/>
          <w:lang w:val="en-US"/>
        </w:rPr>
      </w:pPr>
      <m:oMathPara>
        <m:oMath>
          <m:sSubSup>
            <m:sSubSupPr>
              <m:ctrlPr>
                <w:rPr>
                  <w:rFonts w:ascii="Cambria Math" w:hAnsi="Cambria Math" w:cs="Times New Roman"/>
                  <w:bCs w:val="0"/>
                  <w:i/>
                  <w:iCs w:val="0"/>
                  <w:sz w:val="24"/>
                  <w:szCs w:val="24"/>
                  <w:lang w:val="en-US"/>
                </w:rPr>
              </m:ctrlPr>
            </m:sSubSupPr>
            <m:e>
              <m:r>
                <m:rPr/>
                <w:rPr>
                  <w:rFonts w:hint="default" w:ascii="Cambria Math" w:hAnsi="Cambria Math" w:cs="Times New Roman"/>
                  <w:sz w:val="24"/>
                  <w:szCs w:val="24"/>
                  <w:lang w:val="en-US" w:eastAsia="zh-CN"/>
                </w:rPr>
                <m:t>S</m:t>
              </m:r>
              <m:ctrlPr>
                <w:rPr>
                  <w:rFonts w:ascii="Cambria Math" w:hAnsi="Cambria Math" w:cs="Times New Roman"/>
                  <w:bCs w:val="0"/>
                  <w:i/>
                  <w:iCs w:val="0"/>
                  <w:sz w:val="24"/>
                  <w:szCs w:val="24"/>
                  <w:lang w:val="en-US"/>
                </w:rPr>
              </m:ctrlPr>
            </m:e>
            <m:sub>
              <m:r>
                <m:rPr/>
                <w:rPr>
                  <w:rFonts w:hint="default" w:ascii="Cambria Math" w:hAnsi="Cambria Math" w:cs="Times New Roman"/>
                  <w:sz w:val="24"/>
                  <w:szCs w:val="24"/>
                  <w:lang w:val="en-US"/>
                </w:rPr>
                <m:t>k</m:t>
              </m:r>
              <m:ctrlPr>
                <w:rPr>
                  <w:rFonts w:ascii="Cambria Math" w:hAnsi="Cambria Math" w:cs="Times New Roman"/>
                  <w:bCs w:val="0"/>
                  <w:i/>
                  <w:iCs w:val="0"/>
                  <w:sz w:val="24"/>
                  <w:szCs w:val="24"/>
                  <w:lang w:val="en-US"/>
                </w:rPr>
              </m:ctrlPr>
            </m:sub>
            <m:sup>
              <m:r>
                <m:rPr/>
                <w:rPr>
                  <w:rFonts w:hint="default" w:ascii="Cambria Math" w:hAnsi="Cambria Math" w:cs="Times New Roman"/>
                  <w:sz w:val="24"/>
                  <w:szCs w:val="24"/>
                  <w:lang w:val="en-US"/>
                </w:rPr>
                <m:t>(</m:t>
              </m:r>
              <m:r>
                <m:rPr/>
                <w:rPr>
                  <w:rFonts w:ascii="Cambria Math" w:hAnsi="Cambria Math" w:cs="Times New Roman"/>
                  <w:sz w:val="24"/>
                  <w:szCs w:val="24"/>
                  <w:lang w:val="en-US"/>
                </w:rPr>
                <m:t>ι</m:t>
              </m:r>
              <m:r>
                <m:rPr/>
                <w:rPr>
                  <w:rFonts w:hint="default" w:ascii="Cambria Math" w:hAnsi="Cambria Math" w:cs="Times New Roman"/>
                  <w:sz w:val="24"/>
                  <w:szCs w:val="24"/>
                  <w:lang w:val="en-US"/>
                </w:rPr>
                <m:t>)</m:t>
              </m:r>
              <m:ctrlPr>
                <w:rPr>
                  <w:rFonts w:ascii="Cambria Math" w:hAnsi="Cambria Math" w:cs="Times New Roman"/>
                  <w:bCs w:val="0"/>
                  <w:i/>
                  <w:iCs w:val="0"/>
                  <w:sz w:val="24"/>
                  <w:szCs w:val="24"/>
                  <w:lang w:val="en-US"/>
                </w:rPr>
              </m:ctrlPr>
            </m:sup>
          </m:sSubSup>
          <m:r>
            <m:rPr/>
            <w:rPr>
              <w:rFonts w:hint="default" w:ascii="Cambria Math" w:hAnsi="Cambria Math" w:cs="Times New Roman"/>
              <w:sz w:val="24"/>
              <w:szCs w:val="24"/>
              <w:lang w:val="en-US"/>
            </w:rPr>
            <m:t>=</m:t>
          </m:r>
          <m:nary>
            <m:naryPr>
              <m:chr m:val="∑"/>
              <m:limLoc m:val="undOvr"/>
              <m:supHide m:val="1"/>
              <m:ctrlPr>
                <w:rPr>
                  <w:rFonts w:hint="default" w:ascii="Cambria Math" w:hAnsi="Cambria Math" w:cs="Times New Roman"/>
                  <w:bCs w:val="0"/>
                  <w:i/>
                  <w:iCs w:val="0"/>
                  <w:sz w:val="24"/>
                  <w:szCs w:val="24"/>
                  <w:lang w:val="en-US"/>
                </w:rPr>
              </m:ctrlPr>
            </m:naryPr>
            <m:sub>
              <m:r>
                <m:rPr/>
                <w:rPr>
                  <w:rFonts w:ascii="Cambria Math" w:hAnsi="Cambria Math" w:cs="Times New Roman"/>
                  <w:sz w:val="24"/>
                  <w:szCs w:val="24"/>
                  <w:lang w:val="en-US"/>
                </w:rPr>
                <m:t>ω</m:t>
              </m:r>
              <m:ctrlPr>
                <w:rPr>
                  <w:rFonts w:hint="default" w:ascii="Cambria Math" w:hAnsi="Cambria Math" w:cs="Times New Roman"/>
                  <w:bCs w:val="0"/>
                  <w:i/>
                  <w:iCs w:val="0"/>
                  <w:sz w:val="24"/>
                  <w:szCs w:val="24"/>
                  <w:lang w:val="en-US"/>
                </w:rPr>
              </m:ctrlPr>
            </m:sub>
            <m:sup>
              <m:ctrlPr>
                <w:rPr>
                  <w:rFonts w:hint="default" w:ascii="Cambria Math" w:hAnsi="Cambria Math" w:cs="Times New Roman"/>
                  <w:bCs w:val="0"/>
                  <w:i/>
                  <w:iCs w:val="0"/>
                  <w:sz w:val="24"/>
                  <w:szCs w:val="24"/>
                  <w:lang w:val="en-US"/>
                </w:rPr>
              </m:ctrlPr>
            </m:sup>
            <m:e>
              <m:sSub>
                <m:sSubPr>
                  <m:ctrlPr>
                    <w:rPr>
                      <w:rFonts w:hint="default" w:ascii="Cambria Math" w:hAnsi="Cambria Math" w:cs="Times New Roman"/>
                      <w:bCs w:val="0"/>
                      <w:i/>
                      <w:iCs w:val="0"/>
                      <w:sz w:val="24"/>
                      <w:szCs w:val="24"/>
                      <w:lang w:val="en-US"/>
                    </w:rPr>
                  </m:ctrlPr>
                </m:sSubPr>
                <m:e>
                  <m:r>
                    <m:rPr/>
                    <w:rPr>
                      <w:rFonts w:ascii="Cambria Math" w:hAnsi="Cambria Math" w:cs="Times New Roman"/>
                      <w:sz w:val="24"/>
                      <w:szCs w:val="24"/>
                      <w:lang w:val="en-US"/>
                    </w:rPr>
                    <m:t>ϕ</m:t>
                  </m:r>
                  <m:ctrlPr>
                    <w:rPr>
                      <w:rFonts w:hint="default" w:ascii="Cambria Math" w:hAnsi="Cambria Math" w:cs="Times New Roman"/>
                      <w:bCs w:val="0"/>
                      <w:i/>
                      <w:iCs w:val="0"/>
                      <w:sz w:val="24"/>
                      <w:szCs w:val="24"/>
                      <w:lang w:val="en-US"/>
                    </w:rPr>
                  </m:ctrlPr>
                </m:e>
                <m:sub>
                  <m:r>
                    <m:rPr/>
                    <w:rPr>
                      <w:rFonts w:hint="default" w:ascii="Cambria Math" w:hAnsi="Cambria Math" w:cs="Times New Roman"/>
                      <w:sz w:val="24"/>
                      <w:szCs w:val="24"/>
                      <w:lang w:val="en-US"/>
                    </w:rPr>
                    <m:t>k</m:t>
                  </m:r>
                  <m:ctrlPr>
                    <w:rPr>
                      <w:rFonts w:hint="default" w:ascii="Cambria Math" w:hAnsi="Cambria Math" w:cs="Times New Roman"/>
                      <w:bCs w:val="0"/>
                      <w:i/>
                      <w:iCs w:val="0"/>
                      <w:sz w:val="24"/>
                      <w:szCs w:val="24"/>
                      <w:lang w:val="en-US"/>
                    </w:rPr>
                  </m:ctrlPr>
                </m:sub>
              </m:sSub>
              <m:r>
                <m:rPr/>
                <w:rPr>
                  <w:rFonts w:hint="default" w:ascii="Cambria Math" w:hAnsi="Cambria Math" w:cs="Times New Roman"/>
                  <w:sz w:val="24"/>
                  <w:szCs w:val="24"/>
                  <w:lang w:val="en-US"/>
                </w:rPr>
                <m:t>(</m:t>
              </m:r>
              <m:r>
                <m:rPr/>
                <w:rPr>
                  <w:rFonts w:ascii="Cambria Math" w:hAnsi="Cambria Math" w:cs="Times New Roman"/>
                  <w:sz w:val="24"/>
                  <w:szCs w:val="24"/>
                  <w:lang w:val="en-US"/>
                </w:rPr>
                <m:t>ω</m:t>
              </m:r>
              <m:r>
                <m:rPr/>
                <w:rPr>
                  <w:rFonts w:hint="default" w:ascii="Cambria Math" w:hAnsi="Cambria Math" w:cs="Times New Roman"/>
                  <w:sz w:val="24"/>
                  <w:szCs w:val="24"/>
                  <w:lang w:val="en-US"/>
                </w:rPr>
                <m:t xml:space="preserve">) </m:t>
              </m:r>
              <m:ctrlPr>
                <w:rPr>
                  <w:rFonts w:hint="default" w:ascii="Cambria Math" w:hAnsi="Cambria Math" w:cs="Times New Roman"/>
                  <w:bCs w:val="0"/>
                  <w:i/>
                  <w:iCs w:val="0"/>
                  <w:sz w:val="24"/>
                  <w:szCs w:val="24"/>
                  <w:lang w:val="en-US"/>
                </w:rPr>
              </m:ctrlPr>
            </m:e>
          </m:nary>
          <m:r>
            <m:rPr/>
            <w:rPr>
              <w:rFonts w:hint="default" w:ascii="Cambria Math" w:hAnsi="Cambria Math" w:cs="Cambria Math"/>
              <w:sz w:val="24"/>
              <w:szCs w:val="24"/>
              <w:lang w:val="en-US"/>
            </w:rPr>
            <m:t xml:space="preserve">∙ </m:t>
          </m:r>
          <m:func>
            <m:funcPr>
              <m:ctrlPr>
                <w:rPr>
                  <w:rFonts w:hint="default" w:ascii="Cambria Math" w:hAnsi="Cambria Math" w:cs="Cambria Math"/>
                  <w:bCs w:val="0"/>
                  <w:iCs w:val="0"/>
                  <w:sz w:val="24"/>
                  <w:szCs w:val="24"/>
                  <w:lang w:val="en-US"/>
                </w:rPr>
              </m:ctrlPr>
            </m:funcPr>
            <m:fName>
              <m:r>
                <m:rPr>
                  <m:sty m:val="p"/>
                </m:rPr>
                <w:rPr>
                  <w:rFonts w:ascii="Cambria Math" w:hAnsi="Cambria Math" w:cs="Cambria Math"/>
                  <w:sz w:val="24"/>
                  <w:szCs w:val="24"/>
                  <w:lang w:val="en-US"/>
                </w:rPr>
                <m:t>cos</m:t>
              </m:r>
              <m:ctrlPr>
                <w:rPr>
                  <w:rFonts w:hint="default" w:ascii="Cambria Math" w:hAnsi="Cambria Math" w:cs="Cambria Math"/>
                  <w:bCs w:val="0"/>
                  <w:i/>
                  <w:iCs w:val="0"/>
                  <w:sz w:val="24"/>
                  <w:szCs w:val="24"/>
                  <w:lang w:val="en-US"/>
                </w:rPr>
              </m:ctrlPr>
            </m:fName>
            <m:e>
              <m:r>
                <m:rPr/>
                <w:rPr>
                  <w:rFonts w:hint="default" w:ascii="Cambria Math" w:hAnsi="Cambria Math" w:cs="Cambria Math"/>
                  <w:sz w:val="24"/>
                  <w:szCs w:val="24"/>
                  <w:lang w:val="en-US"/>
                </w:rPr>
                <m:t>(</m:t>
              </m:r>
              <m:sSup>
                <m:sSupPr>
                  <m:ctrlPr>
                    <w:rPr>
                      <w:rFonts w:hint="default" w:ascii="Cambria Math" w:hAnsi="Cambria Math" w:cs="Cambria Math"/>
                      <w:bCs w:val="0"/>
                      <w:i/>
                      <w:iCs w:val="0"/>
                      <w:sz w:val="24"/>
                      <w:szCs w:val="24"/>
                      <w:lang w:val="en-US"/>
                    </w:rPr>
                  </m:ctrlPr>
                </m:sSupPr>
                <m:e>
                  <m:r>
                    <m:rPr/>
                    <w:rPr>
                      <w:rFonts w:hint="default" w:ascii="Cambria Math" w:hAnsi="Cambria Math" w:cs="Cambria Math"/>
                      <w:sz w:val="24"/>
                      <w:szCs w:val="24"/>
                      <w:lang w:val="en-US"/>
                    </w:rPr>
                    <m:t>e</m:t>
                  </m:r>
                  <m:ctrlPr>
                    <w:rPr>
                      <w:rFonts w:hint="default" w:ascii="Cambria Math" w:hAnsi="Cambria Math" w:cs="Cambria Math"/>
                      <w:bCs w:val="0"/>
                      <w:i/>
                      <w:iCs w:val="0"/>
                      <w:sz w:val="24"/>
                      <w:szCs w:val="24"/>
                      <w:lang w:val="en-US"/>
                    </w:rPr>
                  </m:ctrlPr>
                </m:e>
                <m:sup>
                  <m:r>
                    <m:rPr/>
                    <w:rPr>
                      <w:rFonts w:ascii="Cambria Math" w:hAnsi="Cambria Math" w:cs="Cambria Math"/>
                      <w:sz w:val="24"/>
                      <w:szCs w:val="24"/>
                      <w:lang w:val="en-US"/>
                    </w:rPr>
                    <m:t>ω</m:t>
                  </m:r>
                  <m:ctrlPr>
                    <w:rPr>
                      <w:rFonts w:hint="default" w:ascii="Cambria Math" w:hAnsi="Cambria Math" w:cs="Cambria Math"/>
                      <w:bCs w:val="0"/>
                      <w:i/>
                      <w:iCs w:val="0"/>
                      <w:sz w:val="24"/>
                      <w:szCs w:val="24"/>
                      <w:lang w:val="en-US"/>
                    </w:rPr>
                  </m:ctrlPr>
                </m:sup>
              </m:sSup>
              <m:r>
                <m:rPr/>
                <w:rPr>
                  <w:rFonts w:hint="default" w:ascii="Cambria Math" w:hAnsi="Cambria Math" w:cs="Cambria Math"/>
                  <w:sz w:val="24"/>
                  <w:szCs w:val="24"/>
                  <w:lang w:val="en-US"/>
                </w:rPr>
                <m:t xml:space="preserve">, </m:t>
              </m:r>
              <m:sSup>
                <m:sSupPr>
                  <m:ctrlPr>
                    <w:rPr>
                      <w:rFonts w:hint="default" w:ascii="Cambria Math" w:hAnsi="Cambria Math" w:cs="Cambria Math"/>
                      <w:bCs w:val="0"/>
                      <w:i/>
                      <w:iCs w:val="0"/>
                      <w:sz w:val="24"/>
                      <w:szCs w:val="24"/>
                      <w:lang w:val="en-US"/>
                    </w:rPr>
                  </m:ctrlPr>
                </m:sSupPr>
                <m:e>
                  <m:acc>
                    <m:accPr>
                      <m:chr m:val="̃"/>
                      <m:ctrlPr>
                        <w:rPr>
                          <w:rFonts w:hint="default" w:ascii="Cambria Math" w:hAnsi="Cambria Math" w:cs="Cambria Math"/>
                          <w:bCs w:val="0"/>
                          <w:i/>
                          <w:iCs w:val="0"/>
                          <w:sz w:val="24"/>
                          <w:szCs w:val="24"/>
                          <w:lang w:val="en-US"/>
                        </w:rPr>
                      </m:ctrlPr>
                    </m:accPr>
                    <m:e>
                      <m:r>
                        <m:rPr/>
                        <w:rPr>
                          <w:rFonts w:hint="default" w:ascii="Cambria Math" w:hAnsi="Cambria Math" w:cs="Cambria Math"/>
                          <w:sz w:val="24"/>
                          <w:szCs w:val="24"/>
                          <w:lang w:val="en-US"/>
                        </w:rPr>
                        <m:t>e</m:t>
                      </m:r>
                      <m:ctrlPr>
                        <w:rPr>
                          <w:rFonts w:hint="default" w:ascii="Cambria Math" w:hAnsi="Cambria Math" w:cs="Cambria Math"/>
                          <w:bCs w:val="0"/>
                          <w:i/>
                          <w:iCs w:val="0"/>
                          <w:sz w:val="24"/>
                          <w:szCs w:val="24"/>
                          <w:lang w:val="en-US"/>
                        </w:rPr>
                      </m:ctrlPr>
                    </m:e>
                  </m:acc>
                  <m:ctrlPr>
                    <w:rPr>
                      <w:rFonts w:hint="default" w:ascii="Cambria Math" w:hAnsi="Cambria Math" w:cs="Cambria Math"/>
                      <w:bCs w:val="0"/>
                      <w:i/>
                      <w:iCs w:val="0"/>
                      <w:sz w:val="24"/>
                      <w:szCs w:val="24"/>
                      <w:lang w:val="en-US"/>
                    </w:rPr>
                  </m:ctrlPr>
                </m:e>
                <m:sup>
                  <m:r>
                    <m:rPr/>
                    <w:rPr>
                      <w:rFonts w:hint="default" w:ascii="Cambria Math" w:hAnsi="Cambria Math" w:cs="Cambria Math"/>
                      <w:sz w:val="24"/>
                      <w:szCs w:val="24"/>
                      <w:lang w:val="en-US"/>
                    </w:rPr>
                    <m:t>(l)</m:t>
                  </m:r>
                  <m:ctrlPr>
                    <w:rPr>
                      <w:rFonts w:hint="default" w:ascii="Cambria Math" w:hAnsi="Cambria Math" w:cs="Cambria Math"/>
                      <w:bCs w:val="0"/>
                      <w:i/>
                      <w:iCs w:val="0"/>
                      <w:sz w:val="24"/>
                      <w:szCs w:val="24"/>
                      <w:lang w:val="en-US"/>
                    </w:rPr>
                  </m:ctrlPr>
                </m:sup>
              </m:sSup>
              <m:r>
                <m:rPr/>
                <w:rPr>
                  <w:rFonts w:hint="default" w:ascii="Cambria Math" w:hAnsi="Cambria Math" w:cs="Cambria Math"/>
                  <w:sz w:val="24"/>
                  <w:szCs w:val="24"/>
                  <w:lang w:val="en-US"/>
                </w:rPr>
                <m:t>)</m:t>
              </m:r>
              <m:ctrlPr>
                <w:rPr>
                  <w:rFonts w:hint="default" w:ascii="Cambria Math" w:hAnsi="Cambria Math" w:cs="Cambria Math"/>
                  <w:bCs w:val="0"/>
                  <w:i/>
                  <w:iCs w:val="0"/>
                  <w:sz w:val="24"/>
                  <w:szCs w:val="24"/>
                  <w:lang w:val="en-US"/>
                </w:rPr>
              </m:ctrlPr>
            </m:e>
          </m:func>
        </m:oMath>
      </m:oMathPara>
    </w:p>
    <w:p w14:paraId="6F13AE81">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eastAsiaTheme="minorEastAsia"/>
          <w:bCs w:val="0"/>
          <w:i w:val="0"/>
          <w:iCs w:val="0"/>
          <w:sz w:val="24"/>
          <w:szCs w:val="24"/>
          <w:lang w:val="en-US" w:eastAsia="zh-CN"/>
        </w:rPr>
      </w:pPr>
      <w:r>
        <w:rPr>
          <w:rFonts w:hint="default" w:ascii="Times New Roman" w:hAnsi="Times New Roman" w:cs="Times New Roman"/>
          <w:bCs w:val="0"/>
          <w:i w:val="0"/>
          <w:iCs w:val="0"/>
          <w:sz w:val="24"/>
          <w:szCs w:val="24"/>
          <w:lang w:val="en-US" w:eastAsia="zh-CN"/>
        </w:rPr>
        <w:t xml:space="preserve">where </w:t>
      </w:r>
      <m:oMath>
        <m:r>
          <m:rPr/>
          <w:rPr>
            <w:rFonts w:ascii="Cambria Math" w:hAnsi="Cambria Math" w:cs="Times New Roman"/>
            <w:sz w:val="24"/>
            <w:szCs w:val="24"/>
            <w:lang w:val="en-US"/>
          </w:rPr>
          <m:t>ω</m:t>
        </m:r>
      </m:oMath>
      <w:r>
        <w:rPr>
          <w:rFonts w:hint="default" w:ascii="Times New Roman" w:hAnsi="Times New Roman" w:cs="Times New Roman"/>
          <w:bCs w:val="0"/>
          <w:i w:val="0"/>
          <w:iCs w:val="0"/>
          <w:sz w:val="24"/>
          <w:szCs w:val="24"/>
          <w:lang w:val="en-US" w:eastAsia="zh-CN"/>
        </w:rPr>
        <w:t xml:space="preserve"> is each word in the topic k, and </w:t>
      </w:r>
      <m:oMath>
        <m:sSup>
          <m:sSupPr>
            <m:ctrlPr>
              <w:rPr>
                <w:rFonts w:hint="default" w:ascii="Cambria Math" w:hAnsi="Cambria Math" w:cs="Cambria Math"/>
                <w:bCs w:val="0"/>
                <w:i/>
                <w:iCs w:val="0"/>
                <w:sz w:val="24"/>
                <w:szCs w:val="24"/>
                <w:lang w:val="en-US"/>
              </w:rPr>
            </m:ctrlPr>
          </m:sSupPr>
          <m:e>
            <m:acc>
              <m:accPr>
                <m:chr m:val="̃"/>
                <m:ctrlPr>
                  <w:rPr>
                    <w:rFonts w:hint="default" w:ascii="Cambria Math" w:hAnsi="Cambria Math" w:cs="Cambria Math"/>
                    <w:bCs w:val="0"/>
                    <w:i/>
                    <w:iCs w:val="0"/>
                    <w:sz w:val="24"/>
                    <w:szCs w:val="24"/>
                    <w:lang w:val="en-US"/>
                  </w:rPr>
                </m:ctrlPr>
              </m:accPr>
              <m:e>
                <m:r>
                  <m:rPr/>
                  <w:rPr>
                    <w:rFonts w:hint="default" w:ascii="Cambria Math" w:hAnsi="Cambria Math" w:cs="Cambria Math"/>
                    <w:sz w:val="24"/>
                    <w:szCs w:val="24"/>
                    <w:lang w:val="en-US"/>
                  </w:rPr>
                  <m:t>e</m:t>
                </m:r>
                <m:ctrlPr>
                  <w:rPr>
                    <w:rFonts w:hint="default" w:ascii="Cambria Math" w:hAnsi="Cambria Math" w:cs="Cambria Math"/>
                    <w:bCs w:val="0"/>
                    <w:i/>
                    <w:iCs w:val="0"/>
                    <w:sz w:val="24"/>
                    <w:szCs w:val="24"/>
                    <w:lang w:val="en-US"/>
                  </w:rPr>
                </m:ctrlPr>
              </m:e>
            </m:acc>
            <m:ctrlPr>
              <w:rPr>
                <w:rFonts w:hint="default" w:ascii="Cambria Math" w:hAnsi="Cambria Math" w:cs="Cambria Math"/>
                <w:bCs w:val="0"/>
                <w:i/>
                <w:iCs w:val="0"/>
                <w:sz w:val="24"/>
                <w:szCs w:val="24"/>
                <w:lang w:val="en-US"/>
              </w:rPr>
            </m:ctrlPr>
          </m:e>
          <m:sup>
            <m:r>
              <m:rPr/>
              <w:rPr>
                <w:rFonts w:hint="default" w:ascii="Cambria Math" w:hAnsi="Cambria Math" w:cs="Cambria Math"/>
                <w:sz w:val="24"/>
                <w:szCs w:val="24"/>
                <w:lang w:val="en-US"/>
              </w:rPr>
              <m:t>(l)</m:t>
            </m:r>
            <m:ctrlPr>
              <w:rPr>
                <w:rFonts w:hint="default" w:ascii="Cambria Math" w:hAnsi="Cambria Math" w:cs="Cambria Math"/>
                <w:bCs w:val="0"/>
                <w:i/>
                <w:iCs w:val="0"/>
                <w:sz w:val="24"/>
                <w:szCs w:val="24"/>
                <w:lang w:val="en-US"/>
              </w:rPr>
            </m:ctrlPr>
          </m:sup>
        </m:sSup>
      </m:oMath>
      <w:r>
        <w:rPr>
          <w:rFonts w:hint="default" w:hAnsi="Cambria Math" w:cs="Cambria Math"/>
          <w:bCs w:val="0"/>
          <w:i w:val="0"/>
          <w:iCs w:val="0"/>
          <w:sz w:val="24"/>
          <w:szCs w:val="24"/>
          <w:lang w:val="en-US"/>
        </w:rPr>
        <w:t xml:space="preserve"> </w:t>
      </w:r>
      <w:r>
        <w:rPr>
          <w:rFonts w:hint="default" w:ascii="Times New Roman" w:hAnsi="Times New Roman" w:cs="Times New Roman"/>
          <w:bCs w:val="0"/>
          <w:i w:val="0"/>
          <w:iCs w:val="0"/>
          <w:sz w:val="24"/>
          <w:szCs w:val="24"/>
          <w:lang w:val="en-US"/>
        </w:rPr>
        <w:t xml:space="preserve">is the word embeddings of the dimension words, </w:t>
      </w:r>
      <m:oMath>
        <m:r>
          <m:rPr/>
          <w:rPr>
            <w:rFonts w:hint="default" w:ascii="Cambria Math" w:hAnsi="Cambria Math" w:cs="Cambria Math"/>
            <w:sz w:val="24"/>
            <w:szCs w:val="24"/>
            <w:lang w:val="en-US"/>
          </w:rPr>
          <m:t>l</m:t>
        </m:r>
      </m:oMath>
      <w:r>
        <w:rPr>
          <w:rFonts w:hint="default" w:ascii="Times New Roman" w:hAnsi="Times New Roman" w:cs="Times New Roman"/>
          <w:i w:val="0"/>
          <w:sz w:val="24"/>
          <w:szCs w:val="24"/>
          <w:lang w:val="en-US"/>
        </w:rPr>
        <w:t>∈{federal,state,local}.</w:t>
      </w:r>
    </w:p>
    <w:p w14:paraId="7B9B9BEE">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However, I quickly discovered a problem: these three dimension words are highly correlated in embedding space. “Federal,” “state,” and “local” often appear in similar contexts, so their vectors overlap heavily. Because of this, as Figure 2 shows, the topic scores across the three dimensions were almost collinear. To solve this issue, I orthogonalized the three embedding vectors. In simpler terms, I forced each dimension to represent only the semantic information unique to itself, by removing the parts that could be explained by the other two vectors. As Figure 2 shows, after orthogonalization, the three dimensions became much more distinct, which allowed the topic scores to spread out in a meaningful way.</w:t>
      </w:r>
    </w:p>
    <w:p w14:paraId="51255709">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drawing>
          <wp:inline distT="0" distB="0" distL="114300" distR="114300">
            <wp:extent cx="2613660" cy="2178050"/>
            <wp:effectExtent l="0" t="0" r="7620" b="1270"/>
            <wp:docPr id="2" name="图片 2" descr="scatter_3d_sampl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atter_3d_sample50"/>
                    <pic:cNvPicPr>
                      <a:picLocks noChangeAspect="1"/>
                    </pic:cNvPicPr>
                  </pic:nvPicPr>
                  <pic:blipFill>
                    <a:blip r:embed="rId6"/>
                    <a:stretch>
                      <a:fillRect/>
                    </a:stretch>
                  </pic:blipFill>
                  <pic:spPr>
                    <a:xfrm>
                      <a:off x="0" y="0"/>
                      <a:ext cx="2613660" cy="2178050"/>
                    </a:xfrm>
                    <a:prstGeom prst="rect">
                      <a:avLst/>
                    </a:prstGeom>
                  </pic:spPr>
                </pic:pic>
              </a:graphicData>
            </a:graphic>
          </wp:inline>
        </w:drawing>
      </w:r>
      <w:r>
        <w:rPr>
          <w:rFonts w:hint="default" w:ascii="Times New Roman" w:hAnsi="Times New Roman" w:cs="Times New Roman"/>
          <w:b w:val="0"/>
          <w:bCs w:val="0"/>
          <w:i w:val="0"/>
          <w:iCs w:val="0"/>
          <w:sz w:val="24"/>
          <w:szCs w:val="24"/>
          <w:lang w:val="en-US" w:eastAsia="zh-CN"/>
        </w:rPr>
        <w:drawing>
          <wp:inline distT="0" distB="0" distL="114300" distR="114300">
            <wp:extent cx="2612390" cy="2178050"/>
            <wp:effectExtent l="0" t="0" r="8890" b="1270"/>
            <wp:docPr id="3" name="图片 3" descr="scatter_3d_sample50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atter_3d_sample50_z"/>
                    <pic:cNvPicPr>
                      <a:picLocks noChangeAspect="1"/>
                    </pic:cNvPicPr>
                  </pic:nvPicPr>
                  <pic:blipFill>
                    <a:blip r:embed="rId7"/>
                    <a:stretch>
                      <a:fillRect/>
                    </a:stretch>
                  </pic:blipFill>
                  <pic:spPr>
                    <a:xfrm>
                      <a:off x="0" y="0"/>
                      <a:ext cx="2612390" cy="2178050"/>
                    </a:xfrm>
                    <a:prstGeom prst="rect">
                      <a:avLst/>
                    </a:prstGeom>
                  </pic:spPr>
                </pic:pic>
              </a:graphicData>
            </a:graphic>
          </wp:inline>
        </w:drawing>
      </w:r>
    </w:p>
    <w:p w14:paraId="441DB701">
      <w:pPr>
        <w:pStyle w:val="3"/>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center"/>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14:paraId="70CC1ECE">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Once I had orthogonalized topic-level scores, I propagated them to the document level. I multiplied each document’s topic distribution </w:t>
      </w:r>
      <m:oMath>
        <m:r>
          <m:rPr>
            <m:sty m:val="p"/>
          </m:rPr>
          <w:rPr>
            <w:rFonts w:hint="default" w:ascii="Cambria Math" w:hAnsi="Times New Roman" w:cs="Times New Roman"/>
            <w:sz w:val="24"/>
            <w:szCs w:val="24"/>
            <w:lang w:val="en-US" w:eastAsia="zh-CN"/>
          </w:rPr>
          <m:t>(</m:t>
        </m:r>
        <m:sSub>
          <m:sSubPr>
            <m:ctrlPr>
              <w:rPr>
                <w:rFonts w:hint="default" w:ascii="Cambria Math" w:hAnsi="Cambria Math" w:cs="Times New Roman"/>
                <w:bCs w:val="0"/>
                <w:i/>
                <w:sz w:val="24"/>
                <w:szCs w:val="24"/>
                <w:lang w:val="en-US"/>
              </w:rPr>
            </m:ctrlPr>
          </m:sSubPr>
          <m:e>
            <m:r>
              <m:rPr>
                <m:nor/>
              </m:rPr>
              <w:rPr>
                <w:rFonts w:hint="default" w:ascii="Times New Roman" w:hAnsi="Times New Roman" w:cs="Times New Roman"/>
                <w:i/>
                <w:sz w:val="24"/>
                <w:szCs w:val="24"/>
                <w:lang w:val="en-US"/>
              </w:rPr>
              <m:t>θ</m:t>
            </m:r>
            <m:ctrlPr>
              <w:rPr>
                <w:rFonts w:hint="default" w:ascii="Cambria Math" w:hAnsi="Cambria Math" w:cs="Times New Roman"/>
                <w:bCs w:val="0"/>
                <w:i/>
                <w:sz w:val="24"/>
                <w:szCs w:val="24"/>
                <w:lang w:val="en-US"/>
              </w:rPr>
            </m:ctrlPr>
          </m:e>
          <m:sub>
            <m:r>
              <m:rPr>
                <m:nor/>
              </m:rPr>
              <w:rPr>
                <w:rFonts w:hint="default" w:ascii="Times New Roman" w:hAnsi="Times New Roman" w:cs="Times New Roman"/>
                <w:i/>
                <w:sz w:val="24"/>
                <w:szCs w:val="24"/>
                <w:lang w:val="en-US"/>
              </w:rPr>
              <m:t>d</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rPr>
          <m:t>)</m:t>
        </m:r>
      </m:oMath>
      <w:r>
        <w:rPr>
          <w:rFonts w:hint="default" w:hAnsi="Cambria Math" w:cs="Times New Roman"/>
          <w:bCs w:val="0"/>
          <w:i w:val="0"/>
          <w:sz w:val="24"/>
          <w:szCs w:val="24"/>
          <w:lang w:val="en-US"/>
        </w:rPr>
        <w:t xml:space="preserve"> </w:t>
      </w:r>
      <w:r>
        <w:rPr>
          <w:rFonts w:hint="default" w:ascii="Times New Roman" w:hAnsi="Times New Roman" w:cs="Times New Roman"/>
          <w:b w:val="0"/>
          <w:bCs w:val="0"/>
          <w:i w:val="0"/>
          <w:iCs w:val="0"/>
          <w:sz w:val="24"/>
          <w:szCs w:val="24"/>
          <w:lang w:val="en-US" w:eastAsia="zh-CN"/>
        </w:rPr>
        <w:t>by the topic-level scores, so each document received its own federal, state, and local semantic scores:</w:t>
      </w:r>
    </w:p>
    <w:p w14:paraId="74AD702C">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Ansi="Cambria Math" w:cs="Times New Roman"/>
          <w:bCs w:val="0"/>
          <w:i w:val="0"/>
          <w:iCs w:val="0"/>
          <w:sz w:val="24"/>
          <w:szCs w:val="24"/>
          <w:lang w:val="en-US"/>
        </w:rPr>
      </w:pPr>
      <m:oMathPara>
        <m:oMath>
          <m:sSubSup>
            <m:sSubSupPr>
              <m:ctrlPr>
                <w:rPr>
                  <w:rFonts w:ascii="Cambria Math" w:hAnsi="Cambria Math" w:cs="Times New Roman"/>
                  <w:bCs w:val="0"/>
                  <w:i/>
                  <w:iCs w:val="0"/>
                  <w:sz w:val="24"/>
                  <w:szCs w:val="24"/>
                  <w:lang w:val="en-US"/>
                </w:rPr>
              </m:ctrlPr>
            </m:sSubSupPr>
            <m:e>
              <m:r>
                <m:rPr/>
                <w:rPr>
                  <w:rFonts w:hint="default" w:ascii="Cambria Math" w:hAnsi="Cambria Math" w:cs="Times New Roman"/>
                  <w:sz w:val="24"/>
                  <w:szCs w:val="24"/>
                  <w:lang w:val="en-US" w:eastAsia="zh-CN"/>
                </w:rPr>
                <m:t>S</m:t>
              </m:r>
              <m:ctrlPr>
                <w:rPr>
                  <w:rFonts w:ascii="Cambria Math" w:hAnsi="Cambria Math" w:cs="Times New Roman"/>
                  <w:bCs w:val="0"/>
                  <w:i/>
                  <w:iCs w:val="0"/>
                  <w:sz w:val="24"/>
                  <w:szCs w:val="24"/>
                  <w:lang w:val="en-US"/>
                </w:rPr>
              </m:ctrlPr>
            </m:e>
            <m:sub>
              <m:r>
                <m:rPr/>
                <w:rPr>
                  <w:rFonts w:hint="default" w:ascii="Cambria Math" w:hAnsi="Cambria Math" w:cs="Times New Roman"/>
                  <w:sz w:val="24"/>
                  <w:szCs w:val="24"/>
                  <w:lang w:val="en-US"/>
                </w:rPr>
                <m:t>d</m:t>
              </m:r>
              <m:ctrlPr>
                <w:rPr>
                  <w:rFonts w:ascii="Cambria Math" w:hAnsi="Cambria Math" w:cs="Times New Roman"/>
                  <w:bCs w:val="0"/>
                  <w:i/>
                  <w:iCs w:val="0"/>
                  <w:sz w:val="24"/>
                  <w:szCs w:val="24"/>
                  <w:lang w:val="en-US"/>
                </w:rPr>
              </m:ctrlPr>
            </m:sub>
            <m:sup>
              <m:r>
                <m:rPr/>
                <w:rPr>
                  <w:rFonts w:hint="default" w:ascii="Cambria Math" w:hAnsi="Cambria Math" w:cs="Times New Roman"/>
                  <w:sz w:val="24"/>
                  <w:szCs w:val="24"/>
                  <w:lang w:val="en-US"/>
                </w:rPr>
                <m:t>(</m:t>
              </m:r>
              <m:r>
                <m:rPr/>
                <w:rPr>
                  <w:rFonts w:ascii="Cambria Math" w:hAnsi="Cambria Math" w:cs="Times New Roman"/>
                  <w:sz w:val="24"/>
                  <w:szCs w:val="24"/>
                  <w:lang w:val="en-US"/>
                </w:rPr>
                <m:t>ι</m:t>
              </m:r>
              <m:r>
                <m:rPr/>
                <w:rPr>
                  <w:rFonts w:hint="default" w:ascii="Cambria Math" w:hAnsi="Cambria Math" w:cs="Times New Roman"/>
                  <w:sz w:val="24"/>
                  <w:szCs w:val="24"/>
                  <w:lang w:val="en-US"/>
                </w:rPr>
                <m:t>)</m:t>
              </m:r>
              <m:ctrlPr>
                <w:rPr>
                  <w:rFonts w:ascii="Cambria Math" w:hAnsi="Cambria Math" w:cs="Times New Roman"/>
                  <w:bCs w:val="0"/>
                  <w:i/>
                  <w:iCs w:val="0"/>
                  <w:sz w:val="24"/>
                  <w:szCs w:val="24"/>
                  <w:lang w:val="en-US"/>
                </w:rPr>
              </m:ctrlPr>
            </m:sup>
          </m:sSubSup>
          <m:r>
            <m:rPr/>
            <w:rPr>
              <w:rFonts w:hint="default" w:ascii="Cambria Math" w:hAnsi="Cambria Math" w:cs="Times New Roman"/>
              <w:sz w:val="24"/>
              <w:szCs w:val="24"/>
              <w:lang w:val="en-US"/>
            </w:rPr>
            <m:t>=</m:t>
          </m:r>
          <m:nary>
            <m:naryPr>
              <m:chr m:val="∑"/>
              <m:limLoc m:val="undOvr"/>
              <m:supHide m:val="1"/>
              <m:ctrlPr>
                <w:rPr>
                  <w:rFonts w:hint="default" w:ascii="Cambria Math" w:hAnsi="Cambria Math" w:cs="Times New Roman"/>
                  <w:bCs w:val="0"/>
                  <w:i/>
                  <w:iCs w:val="0"/>
                  <w:sz w:val="24"/>
                  <w:szCs w:val="24"/>
                  <w:lang w:val="en-US"/>
                </w:rPr>
              </m:ctrlPr>
            </m:naryPr>
            <m:sub>
              <m:r>
                <m:rPr/>
                <w:rPr>
                  <w:rFonts w:hint="default" w:ascii="Cambria Math" w:hAnsi="Cambria Math" w:cs="Times New Roman"/>
                  <w:sz w:val="24"/>
                  <w:szCs w:val="24"/>
                  <w:lang w:val="en-US"/>
                </w:rPr>
                <m:t>k</m:t>
              </m:r>
              <m:ctrlPr>
                <w:rPr>
                  <w:rFonts w:hint="default" w:ascii="Cambria Math" w:hAnsi="Cambria Math" w:cs="Times New Roman"/>
                  <w:bCs w:val="0"/>
                  <w:i/>
                  <w:iCs w:val="0"/>
                  <w:sz w:val="24"/>
                  <w:szCs w:val="24"/>
                  <w:lang w:val="en-US"/>
                </w:rPr>
              </m:ctrlPr>
            </m:sub>
            <m:sup>
              <m:ctrlPr>
                <w:rPr>
                  <w:rFonts w:hint="default" w:ascii="Cambria Math" w:hAnsi="Cambria Math" w:cs="Times New Roman"/>
                  <w:bCs w:val="0"/>
                  <w:i/>
                  <w:iCs w:val="0"/>
                  <w:sz w:val="24"/>
                  <w:szCs w:val="24"/>
                  <w:lang w:val="en-US"/>
                </w:rPr>
              </m:ctrlPr>
            </m:sup>
            <m:e>
              <m:sSub>
                <m:sSubPr>
                  <m:ctrlPr>
                    <w:rPr>
                      <w:rFonts w:hint="default" w:ascii="Cambria Math" w:hAnsi="Cambria Math" w:cs="Times New Roman"/>
                      <w:bCs w:val="0"/>
                      <w:i/>
                      <w:iCs w:val="0"/>
                      <w:sz w:val="24"/>
                      <w:szCs w:val="24"/>
                      <w:lang w:val="en-US"/>
                    </w:rPr>
                  </m:ctrlPr>
                </m:sSubPr>
                <m:e>
                  <m:r>
                    <m:rPr/>
                    <w:rPr>
                      <w:rFonts w:ascii="Cambria Math" w:hAnsi="Cambria Math" w:cs="Times New Roman"/>
                      <w:sz w:val="24"/>
                      <w:szCs w:val="24"/>
                      <w:lang w:val="en-US"/>
                    </w:rPr>
                    <m:t>θ</m:t>
                  </m:r>
                  <m:ctrlPr>
                    <w:rPr>
                      <w:rFonts w:hint="default" w:ascii="Cambria Math" w:hAnsi="Cambria Math" w:cs="Times New Roman"/>
                      <w:bCs w:val="0"/>
                      <w:i/>
                      <w:iCs w:val="0"/>
                      <w:sz w:val="24"/>
                      <w:szCs w:val="24"/>
                      <w:lang w:val="en-US"/>
                    </w:rPr>
                  </m:ctrlPr>
                </m:e>
                <m:sub>
                  <m:r>
                    <m:rPr/>
                    <w:rPr>
                      <w:rFonts w:hint="default" w:ascii="Cambria Math" w:hAnsi="Cambria Math" w:cs="Times New Roman"/>
                      <w:sz w:val="24"/>
                      <w:szCs w:val="24"/>
                      <w:lang w:val="en-US"/>
                    </w:rPr>
                    <m:t>d</m:t>
                  </m:r>
                  <m:ctrlPr>
                    <w:rPr>
                      <w:rFonts w:hint="default" w:ascii="Cambria Math" w:hAnsi="Cambria Math" w:cs="Times New Roman"/>
                      <w:bCs w:val="0"/>
                      <w:i/>
                      <w:iCs w:val="0"/>
                      <w:sz w:val="24"/>
                      <w:szCs w:val="24"/>
                      <w:lang w:val="en-US"/>
                    </w:rPr>
                  </m:ctrlPr>
                </m:sub>
              </m:sSub>
              <m:r>
                <m:rPr/>
                <w:rPr>
                  <w:rFonts w:hint="default" w:ascii="Cambria Math" w:hAnsi="Cambria Math" w:cs="Times New Roman"/>
                  <w:sz w:val="24"/>
                  <w:szCs w:val="24"/>
                  <w:lang w:val="en-US"/>
                </w:rPr>
                <m:t xml:space="preserve">(k) </m:t>
              </m:r>
              <m:ctrlPr>
                <w:rPr>
                  <w:rFonts w:hint="default" w:ascii="Cambria Math" w:hAnsi="Cambria Math" w:cs="Times New Roman"/>
                  <w:bCs w:val="0"/>
                  <w:i/>
                  <w:iCs w:val="0"/>
                  <w:sz w:val="24"/>
                  <w:szCs w:val="24"/>
                  <w:lang w:val="en-US"/>
                </w:rPr>
              </m:ctrlPr>
            </m:e>
          </m:nary>
          <m:r>
            <m:rPr/>
            <w:rPr>
              <w:rFonts w:hint="default" w:ascii="Cambria Math" w:hAnsi="Cambria Math" w:cs="Cambria Math"/>
              <w:sz w:val="24"/>
              <w:szCs w:val="24"/>
              <w:lang w:val="en-US"/>
            </w:rPr>
            <m:t xml:space="preserve">∙ </m:t>
          </m:r>
          <m:sSubSup>
            <m:sSubSupPr>
              <m:ctrlPr>
                <w:rPr>
                  <w:rFonts w:ascii="Cambria Math" w:hAnsi="Cambria Math" w:cs="Times New Roman"/>
                  <w:bCs w:val="0"/>
                  <w:i/>
                  <w:iCs w:val="0"/>
                  <w:sz w:val="24"/>
                  <w:szCs w:val="24"/>
                  <w:lang w:val="en-US"/>
                </w:rPr>
              </m:ctrlPr>
            </m:sSubSupPr>
            <m:e>
              <m:r>
                <m:rPr/>
                <w:rPr>
                  <w:rFonts w:hint="default" w:ascii="Cambria Math" w:hAnsi="Cambria Math" w:cs="Times New Roman"/>
                  <w:sz w:val="24"/>
                  <w:szCs w:val="24"/>
                  <w:lang w:val="en-US" w:eastAsia="zh-CN"/>
                </w:rPr>
                <m:t>S</m:t>
              </m:r>
              <m:ctrlPr>
                <w:rPr>
                  <w:rFonts w:ascii="Cambria Math" w:hAnsi="Cambria Math" w:cs="Times New Roman"/>
                  <w:bCs w:val="0"/>
                  <w:i/>
                  <w:iCs w:val="0"/>
                  <w:sz w:val="24"/>
                  <w:szCs w:val="24"/>
                  <w:lang w:val="en-US"/>
                </w:rPr>
              </m:ctrlPr>
            </m:e>
            <m:sub>
              <m:r>
                <m:rPr/>
                <w:rPr>
                  <w:rFonts w:hint="default" w:ascii="Cambria Math" w:hAnsi="Cambria Math" w:cs="Times New Roman"/>
                  <w:sz w:val="24"/>
                  <w:szCs w:val="24"/>
                  <w:lang w:val="en-US"/>
                </w:rPr>
                <m:t>k</m:t>
              </m:r>
              <m:ctrlPr>
                <w:rPr>
                  <w:rFonts w:ascii="Cambria Math" w:hAnsi="Cambria Math" w:cs="Times New Roman"/>
                  <w:bCs w:val="0"/>
                  <w:i/>
                  <w:iCs w:val="0"/>
                  <w:sz w:val="24"/>
                  <w:szCs w:val="24"/>
                  <w:lang w:val="en-US"/>
                </w:rPr>
              </m:ctrlPr>
            </m:sub>
            <m:sup>
              <m:r>
                <m:rPr/>
                <w:rPr>
                  <w:rFonts w:hint="default" w:ascii="Cambria Math" w:hAnsi="Cambria Math" w:cs="Times New Roman"/>
                  <w:sz w:val="24"/>
                  <w:szCs w:val="24"/>
                  <w:lang w:val="en-US"/>
                </w:rPr>
                <m:t>(</m:t>
              </m:r>
              <m:r>
                <m:rPr/>
                <w:rPr>
                  <w:rFonts w:ascii="Cambria Math" w:hAnsi="Cambria Math" w:cs="Times New Roman"/>
                  <w:sz w:val="24"/>
                  <w:szCs w:val="24"/>
                  <w:lang w:val="en-US"/>
                </w:rPr>
                <m:t>ι</m:t>
              </m:r>
              <m:r>
                <m:rPr/>
                <w:rPr>
                  <w:rFonts w:hint="default" w:ascii="Cambria Math" w:hAnsi="Cambria Math" w:cs="Times New Roman"/>
                  <w:sz w:val="24"/>
                  <w:szCs w:val="24"/>
                  <w:lang w:val="en-US"/>
                </w:rPr>
                <m:t>)</m:t>
              </m:r>
              <m:ctrlPr>
                <w:rPr>
                  <w:rFonts w:ascii="Cambria Math" w:hAnsi="Cambria Math" w:cs="Times New Roman"/>
                  <w:bCs w:val="0"/>
                  <w:i/>
                  <w:iCs w:val="0"/>
                  <w:sz w:val="24"/>
                  <w:szCs w:val="24"/>
                  <w:lang w:val="en-US"/>
                </w:rPr>
              </m:ctrlPr>
            </m:sup>
          </m:sSubSup>
        </m:oMath>
      </m:oMathPara>
    </w:p>
    <w:p w14:paraId="6331CD99">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Cs w:val="0"/>
          <w:i w:val="0"/>
          <w:iCs w:val="0"/>
          <w:sz w:val="24"/>
          <w:szCs w:val="24"/>
          <w:lang w:val="en-US" w:eastAsia="zh-CN"/>
        </w:rPr>
      </w:pPr>
      <w:r>
        <w:rPr>
          <w:rFonts w:hint="default" w:ascii="Times New Roman" w:hAnsi="Times New Roman" w:cs="Times New Roman"/>
          <w:bCs w:val="0"/>
          <w:i w:val="0"/>
          <w:iCs w:val="0"/>
          <w:sz w:val="24"/>
          <w:szCs w:val="24"/>
          <w:lang w:val="en-US" w:eastAsia="zh-CN"/>
        </w:rPr>
        <w:t>where k is each topic in the document d.</w:t>
      </w:r>
    </w:p>
    <w:p w14:paraId="1413A124">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Finally, using the three document-level scores, I assigned each document a predicted label. The prediction is simply the dimension with the highest score among federal, state, and local. This gives us a direct, interpretable way to classify political language and prepared for next step’s classification.</w:t>
      </w:r>
    </w:p>
    <w:p w14:paraId="6B1D0C17">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Here are two clarifications I must make about this labeling strategy. The first one is why I didn’t label each topic like the </w:t>
      </w:r>
      <w:r>
        <w:rPr>
          <w:rFonts w:hint="default" w:ascii="Times New Roman" w:hAnsi="Times New Roman" w:cs="Times New Roman"/>
          <w:b w:val="0"/>
          <w:bCs w:val="0"/>
          <w:sz w:val="24"/>
          <w:szCs w:val="24"/>
          <w:lang w:val="en-US" w:eastAsia="zh-CN"/>
        </w:rPr>
        <w:t>Barberá paper and many of my classmates did. There are both theoretical and practical considerations. Theoretically, the topics provided by the LDA model are latent, and they are not necessarily the perfect matching for human-readable topics. For examples, topic 27 may have a 70% similarity with foreign policy, so foreign policy is the best label for it. However, if we label it as foreign policy, we will lose the 30% information of it which are not related to foreign policy. Practically, as a non-native English speaker, I am not confident about manually labeling for the topics. Actually I tried to use large language models to do it for me. However, the labeling results provided by the AI are heavily influenced by the prompt words, which deepened my doubts about this method.</w:t>
      </w:r>
    </w:p>
    <w:p w14:paraId="227ED065">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second clarification is why I didn’t label some of the observations manually. The advantage of manual labeling is to provide a classification which is based on human understanding of the texts instead of statistical inference. However, this understanding is based on the semantic meanings of the texts, which could also be captured by word embeddings. In fact, if the following assumption stands, it would be rational to trust the label provided by the calculation based on word embeddings and not label by myself:</w:t>
      </w:r>
    </w:p>
    <w:p w14:paraId="2552EFB6">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The GloVe 300-dimensional embeddings can capture the semantic meanings of the tweets of U.S elected officials better than me.</w:t>
      </w:r>
    </w:p>
    <w:p w14:paraId="693E9A5D">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It’s just an assumption and can not easily be proved. Based on my understand about word embeddings and myself, I chose to trust this assumption.</w:t>
      </w:r>
    </w:p>
    <w:p w14:paraId="1B55B403">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Supervised Learning</w:t>
      </w:r>
    </w:p>
    <w:p w14:paraId="60B1245D">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After labeling the data, I moved to the supervised learning models. The motivation to build the supervised learning models is to classify the observations based on the texts, so that when we apply the models to new data, we can infer their issue level more conveniently and don’t need to do the time costing topic models again. Therefore, the dependent variable of the supervised learning models was the label provided by the previous steps, and the inputs were the texts.</w:t>
      </w:r>
    </w:p>
    <w:p w14:paraId="137243F2">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I tried to build two different supervised learning models to do the classifications: a ridge multinomial logistic regression model and a DistilBERT model. The initial inputs of these two models were both the aggregated raw texts, but there is a slight difference: I calculated the TF-IDF values for the ridge model fitting, while fed the raw text directly to the DistilBERT model as it needed contexts. The performance and application of these models will be shown in the result section. </w:t>
      </w:r>
    </w:p>
    <w:p w14:paraId="72453EB6">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Results</w:t>
      </w:r>
    </w:p>
    <w:p w14:paraId="01CF0DC6">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LDA Models and Labeling</w:t>
      </w:r>
    </w:p>
    <w:p w14:paraId="6F11C61B">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left"/>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Based on the modeling and labeling strategy shown above, I classified all of the observations into the three categories: federal, state and local. Figure 3 shows the proportion of each category. Since I used z-scores to standardize the scores of the three categories, they are more comparable in scale, and thus have a relatively balanced distribution.</w:t>
      </w:r>
    </w:p>
    <w:p w14:paraId="0EB3FD09">
      <w:pPr>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center"/>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drawing>
          <wp:inline distT="0" distB="0" distL="114300" distR="114300">
            <wp:extent cx="2353310" cy="2353310"/>
            <wp:effectExtent l="0" t="0" r="8890" b="0"/>
            <wp:docPr id="4" name="图片 4" descr="pie_predicted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ie_predicted_levels"/>
                    <pic:cNvPicPr>
                      <a:picLocks noChangeAspect="1"/>
                    </pic:cNvPicPr>
                  </pic:nvPicPr>
                  <pic:blipFill>
                    <a:blip r:embed="rId8"/>
                    <a:stretch>
                      <a:fillRect/>
                    </a:stretch>
                  </pic:blipFill>
                  <pic:spPr>
                    <a:xfrm>
                      <a:off x="0" y="0"/>
                      <a:ext cx="2353310" cy="2353310"/>
                    </a:xfrm>
                    <a:prstGeom prst="rect">
                      <a:avLst/>
                    </a:prstGeom>
                  </pic:spPr>
                </pic:pic>
              </a:graphicData>
            </a:graphic>
          </wp:inline>
        </w:drawing>
      </w:r>
    </w:p>
    <w:p w14:paraId="22AB3D18">
      <w:pPr>
        <w:pStyle w:val="3"/>
        <w:keepNext w:val="0"/>
        <w:keepLines w:val="0"/>
        <w:pageBreakBefore w:val="0"/>
        <w:widowControl w:val="0"/>
        <w:kinsoku/>
        <w:wordWrap/>
        <w:overflowPunct/>
        <w:topLinePunct w:val="0"/>
        <w:autoSpaceDE/>
        <w:autoSpaceDN/>
        <w:bidi w:val="0"/>
        <w:adjustRightInd/>
        <w:snapToGrid/>
        <w:spacing w:beforeAutospacing="0" w:after="157" w:afterLines="50" w:afterAutospacing="0" w:line="240" w:lineRule="auto"/>
        <w:jc w:val="center"/>
        <w:textAlignment w:val="auto"/>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03ACD36A">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Figure 4 shows the average scores of these three categories grouped by official characteristics. In Figure 4a, the observations are grouped by the office level of officials. We can see in general, the higher is the office level, the more is the attention towards all of these three categories. Local officials have the lowest interest in these issues, state officials are around the baseline, and federal officials have the highest scores for federal and local issues. We can also see that officials of each office levels focus most on the issues of their own level, which validate the labeling strategy. In Figure 4b, the observations are grouped by party affiliations. We can see that Democrats and Republicans </w:t>
      </w:r>
      <w:r>
        <w:rPr>
          <w:rFonts w:hint="eastAsia" w:ascii="Times New Roman" w:hAnsi="Times New Roman" w:cs="Times New Roman"/>
          <w:b w:val="0"/>
          <w:bCs w:val="0"/>
          <w:sz w:val="24"/>
          <w:szCs w:val="24"/>
          <w:lang w:val="en-US" w:eastAsia="zh-CN"/>
        </w:rPr>
        <w:t>have</w:t>
      </w:r>
      <w:r>
        <w:rPr>
          <w:rFonts w:hint="default" w:ascii="Times New Roman" w:hAnsi="Times New Roman" w:cs="Times New Roman"/>
          <w:b w:val="0"/>
          <w:bCs w:val="0"/>
          <w:sz w:val="24"/>
          <w:szCs w:val="24"/>
          <w:lang w:val="en-US" w:eastAsia="zh-CN"/>
        </w:rPr>
        <w:t xml:space="preserve"> little difference on these scores, while they both have much higher scores than officials from other parties or independent candidates. This implies the propaganda on social media of the major parties have great advantages towards people from marginal positions in the U.S. politics political system.</w:t>
      </w:r>
      <w:r>
        <w:rPr>
          <w:rFonts w:hint="default" w:ascii="Times New Roman" w:hAnsi="Times New Roman" w:cs="Times New Roman"/>
          <w:b w:val="0"/>
          <w:bCs w:val="0"/>
          <w:sz w:val="24"/>
          <w:szCs w:val="24"/>
          <w:lang w:val="en-US"/>
        </w:rPr>
        <w:t xml:space="preserve">  </w:t>
      </w:r>
    </w:p>
    <w:p w14:paraId="592B53F3">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2620010" cy="1871980"/>
            <wp:effectExtent l="0" t="0" r="1270" b="2540"/>
            <wp:docPr id="7" name="图片 7" descr="plot_officelevel_scores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lot_officelevel_scores_z"/>
                    <pic:cNvPicPr>
                      <a:picLocks noChangeAspect="1"/>
                    </pic:cNvPicPr>
                  </pic:nvPicPr>
                  <pic:blipFill>
                    <a:blip r:embed="rId9"/>
                    <a:stretch>
                      <a:fillRect/>
                    </a:stretch>
                  </pic:blipFill>
                  <pic:spPr>
                    <a:xfrm>
                      <a:off x="0" y="0"/>
                      <a:ext cx="2620010" cy="1871980"/>
                    </a:xfrm>
                    <a:prstGeom prst="roundRect">
                      <a:avLst/>
                    </a:prstGeom>
                  </pic:spPr>
                </pic:pic>
              </a:graphicData>
            </a:graphic>
          </wp:inline>
        </w:drawing>
      </w:r>
      <w:r>
        <w:rPr>
          <w:rFonts w:hint="default" w:ascii="Times New Roman" w:hAnsi="Times New Roman" w:cs="Times New Roman"/>
          <w:b w:val="0"/>
          <w:bCs w:val="0"/>
          <w:sz w:val="24"/>
          <w:szCs w:val="24"/>
          <w:lang w:val="en-US"/>
        </w:rPr>
        <w:drawing>
          <wp:inline distT="0" distB="0" distL="114300" distR="114300">
            <wp:extent cx="2620010" cy="1871980"/>
            <wp:effectExtent l="0" t="0" r="1270" b="2540"/>
            <wp:docPr id="8" name="图片 8" descr="plot_party_scores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lot_party_scores_z"/>
                    <pic:cNvPicPr>
                      <a:picLocks noChangeAspect="1"/>
                    </pic:cNvPicPr>
                  </pic:nvPicPr>
                  <pic:blipFill>
                    <a:blip r:embed="rId10"/>
                    <a:stretch>
                      <a:fillRect/>
                    </a:stretch>
                  </pic:blipFill>
                  <pic:spPr>
                    <a:xfrm>
                      <a:off x="0" y="0"/>
                      <a:ext cx="2620010" cy="1871980"/>
                    </a:xfrm>
                    <a:prstGeom prst="rect">
                      <a:avLst/>
                    </a:prstGeom>
                  </pic:spPr>
                </pic:pic>
              </a:graphicData>
            </a:graphic>
          </wp:inline>
        </w:drawing>
      </w:r>
    </w:p>
    <w:p w14:paraId="1CD94AE6">
      <w:pPr>
        <w:pStyle w:val="3"/>
        <w:keepNext w:val="0"/>
        <w:keepLines w:val="0"/>
        <w:pageBreakBefore w:val="0"/>
        <w:kinsoku/>
        <w:wordWrap/>
        <w:overflowPunct/>
        <w:topLinePunct w:val="0"/>
        <w:autoSpaceDE/>
        <w:autoSpaceDN/>
        <w:bidi w:val="0"/>
        <w:adjustRightInd/>
        <w:snapToGrid/>
        <w:spacing w:beforeAutospacing="0" w:after="157" w:afterLines="50" w:afterAutospacing="0"/>
        <w:jc w:val="center"/>
        <w:textAlignment w:val="auto"/>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14:paraId="394527B3">
      <w:pPr>
        <w:keepNext w:val="0"/>
        <w:keepLines w:val="0"/>
        <w:pageBreakBefore w:val="0"/>
        <w:kinsoku/>
        <w:wordWrap/>
        <w:overflowPunct/>
        <w:topLinePunct w:val="0"/>
        <w:autoSpaceDE/>
        <w:autoSpaceDN/>
        <w:bidi w:val="0"/>
        <w:adjustRightInd/>
        <w:snapToGrid/>
        <w:spacing w:beforeAutospacing="0" w:after="157" w:afterLines="50" w:afterAutospacing="0"/>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Supervised Learning</w:t>
      </w:r>
    </w:p>
    <w:p w14:paraId="098D6727">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After training the ridge and DistillBERT models mentioned before, I evaluated them on a test set and exported the classification report to compare its performance with the base</w:t>
      </w:r>
      <w:r>
        <w:rPr>
          <w:rFonts w:hint="eastAsia" w:ascii="Times New Roman" w:hAnsi="Times New Roman" w:cs="Times New Roman"/>
          <w:i w:val="0"/>
          <w:iCs w:val="0"/>
          <w:sz w:val="24"/>
          <w:szCs w:val="24"/>
          <w:lang w:val="en-US" w:eastAsia="zh-CN"/>
        </w:rPr>
        <w:t>l</w:t>
      </w:r>
      <w:r>
        <w:rPr>
          <w:rFonts w:hint="default" w:ascii="Times New Roman" w:hAnsi="Times New Roman" w:cs="Times New Roman"/>
          <w:i w:val="0"/>
          <w:iCs w:val="0"/>
          <w:sz w:val="24"/>
          <w:szCs w:val="24"/>
          <w:lang w:val="en-US"/>
        </w:rPr>
        <w:t>ine (guess all observations as federal, which has the highest proportion in the sample) and each other. As we can see in Figure 4, though the accuracy of these two models are only o.65 and 0.67, they almost double compared to the baseline. Considering that this is a three-class instead of a two-class classification, I think the performance is acceptable. As for the comparison between the two models, the total accuracy of the DistillBERT model is a little less than the ridge model, but it’s more balanced across the three levels, and precision and recall. Considering the difference of the computation cost of these two models, the ridge model is more economic.</w:t>
      </w:r>
    </w:p>
    <w:p w14:paraId="2BC7F76A">
      <w:pPr>
        <w:keepNext w:val="0"/>
        <w:keepLines w:val="0"/>
        <w:pageBreakBefore w:val="0"/>
        <w:kinsoku/>
        <w:wordWrap/>
        <w:overflowPunct/>
        <w:topLinePunct w:val="0"/>
        <w:autoSpaceDE/>
        <w:autoSpaceDN/>
        <w:bidi w:val="0"/>
        <w:adjustRightInd/>
        <w:snapToGrid/>
        <w:spacing w:beforeAutospacing="0" w:after="157" w:afterLines="50" w:afterAutospacing="0"/>
        <w:jc w:val="center"/>
        <w:textAlignment w:val="auto"/>
        <w:rPr>
          <w:rFonts w:hint="default" w:ascii="Times New Roman" w:hAnsi="Times New Roman" w:cs="Times New Roman"/>
          <w:i w:val="0"/>
          <w:iCs w:val="0"/>
          <w:sz w:val="24"/>
          <w:szCs w:val="24"/>
          <w:lang w:val="en-US" w:eastAsia="zh-CN"/>
        </w:rPr>
      </w:pPr>
      <w:r>
        <w:rPr>
          <w:rFonts w:hint="default" w:ascii="Times New Roman" w:hAnsi="Times New Roman" w:cs="Times New Roman"/>
          <w:i w:val="0"/>
          <w:iCs w:val="0"/>
          <w:sz w:val="24"/>
          <w:szCs w:val="24"/>
          <w:lang w:val="en-US" w:eastAsia="zh-CN"/>
        </w:rPr>
        <w:drawing>
          <wp:inline distT="0" distB="0" distL="114300" distR="114300">
            <wp:extent cx="5266690" cy="2527935"/>
            <wp:effectExtent l="0" t="0" r="6350" b="1905"/>
            <wp:docPr id="9" name="图片 9" descr="model_comparison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odel_comparison_bar"/>
                    <pic:cNvPicPr>
                      <a:picLocks noChangeAspect="1"/>
                    </pic:cNvPicPr>
                  </pic:nvPicPr>
                  <pic:blipFill>
                    <a:blip r:embed="rId11"/>
                    <a:stretch>
                      <a:fillRect/>
                    </a:stretch>
                  </pic:blipFill>
                  <pic:spPr>
                    <a:xfrm>
                      <a:off x="0" y="0"/>
                      <a:ext cx="5266690" cy="2527935"/>
                    </a:xfrm>
                    <a:prstGeom prst="rect">
                      <a:avLst/>
                    </a:prstGeom>
                  </pic:spPr>
                </pic:pic>
              </a:graphicData>
            </a:graphic>
          </wp:inline>
        </w:drawing>
      </w:r>
    </w:p>
    <w:p w14:paraId="5B184E4E">
      <w:pPr>
        <w:pStyle w:val="3"/>
        <w:keepNext w:val="0"/>
        <w:keepLines w:val="0"/>
        <w:pageBreakBefore w:val="0"/>
        <w:kinsoku/>
        <w:wordWrap/>
        <w:overflowPunct/>
        <w:topLinePunct w:val="0"/>
        <w:autoSpaceDE/>
        <w:autoSpaceDN/>
        <w:bidi w:val="0"/>
        <w:adjustRightInd/>
        <w:snapToGrid/>
        <w:spacing w:beforeAutospacing="0" w:after="157" w:afterLines="50" w:afterAutospacing="0"/>
        <w:jc w:val="center"/>
        <w:textAlignment w:val="auto"/>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14:paraId="200E459D">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Therefore, I applied the ridge model to a new data set (the tweets_congress data set).  I processed the new text data using the same pipeline as the training data, predicted the level for each tweet, and added the predicted labels back into the data set. Figure</w:t>
      </w:r>
      <w:r>
        <w:rPr>
          <w:rFonts w:hint="eastAsia" w:ascii="Times New Roman" w:hAnsi="Times New Roman" w:cs="Times New Roman"/>
          <w:sz w:val="24"/>
          <w:szCs w:val="24"/>
          <w:lang w:val="en-US" w:eastAsia="zh-CN"/>
        </w:rPr>
        <w:t xml:space="preserve"> 6 shows</w:t>
      </w:r>
      <w:r>
        <w:rPr>
          <w:rFonts w:hint="default" w:ascii="Times New Roman" w:hAnsi="Times New Roman" w:cs="Times New Roman"/>
          <w:sz w:val="24"/>
          <w:szCs w:val="24"/>
          <w:lang w:val="en-US" w:eastAsia="zh-CN"/>
        </w:rPr>
        <w:t xml:space="preserve"> the distribution of predicted topic levels across different subgroups, including party affiliation and chamber. It is important to note that all observations in this data set are drawn from members of the congress. Given this institutional context, a very small share of content addressing explicitly local-level issues is expected. The consistently low proportion of the local category (approximately 2% across all groups) therefore aligns well with the data-generating process and strengthens, rather than undermines, the credibility of the model’s predictions.</w:t>
      </w:r>
    </w:p>
    <w:p w14:paraId="1657C995">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drawing>
          <wp:inline distT="0" distB="0" distL="114300" distR="114300">
            <wp:extent cx="2592070" cy="2592070"/>
            <wp:effectExtent l="0" t="0" r="13970" b="0"/>
            <wp:docPr id="10" name="图片 10" descr="pie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ie_D"/>
                    <pic:cNvPicPr>
                      <a:picLocks noChangeAspect="1"/>
                    </pic:cNvPicPr>
                  </pic:nvPicPr>
                  <pic:blipFill>
                    <a:blip r:embed="rId12"/>
                    <a:stretch>
                      <a:fillRect/>
                    </a:stretch>
                  </pic:blipFill>
                  <pic:spPr>
                    <a:xfrm>
                      <a:off x="0" y="0"/>
                      <a:ext cx="2592070" cy="2592070"/>
                    </a:xfrm>
                    <a:prstGeom prst="rect">
                      <a:avLst/>
                    </a:prstGeom>
                  </pic:spPr>
                </pic:pic>
              </a:graphicData>
            </a:graphic>
          </wp:inline>
        </w:drawing>
      </w:r>
      <w:r>
        <w:rPr>
          <w:rFonts w:hint="eastAsia" w:ascii="Times New Roman" w:hAnsi="Times New Roman" w:cs="Times New Roman" w:eastAsiaTheme="minorEastAsia"/>
          <w:sz w:val="24"/>
          <w:szCs w:val="24"/>
          <w:lang w:val="en-US" w:eastAsia="zh-CN"/>
        </w:rPr>
        <w:drawing>
          <wp:inline distT="0" distB="0" distL="114300" distR="114300">
            <wp:extent cx="2592070" cy="2592070"/>
            <wp:effectExtent l="0" t="0" r="13970" b="0"/>
            <wp:docPr id="11" name="图片 11" descr="pie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ie_R"/>
                    <pic:cNvPicPr>
                      <a:picLocks noChangeAspect="1"/>
                    </pic:cNvPicPr>
                  </pic:nvPicPr>
                  <pic:blipFill>
                    <a:blip r:embed="rId13"/>
                    <a:stretch>
                      <a:fillRect/>
                    </a:stretch>
                  </pic:blipFill>
                  <pic:spPr>
                    <a:xfrm>
                      <a:off x="0" y="0"/>
                      <a:ext cx="2592070" cy="2592070"/>
                    </a:xfrm>
                    <a:prstGeom prst="rect">
                      <a:avLst/>
                    </a:prstGeom>
                  </pic:spPr>
                </pic:pic>
              </a:graphicData>
            </a:graphic>
          </wp:inline>
        </w:drawing>
      </w:r>
    </w:p>
    <w:p w14:paraId="52D69D7D">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592070" cy="2592070"/>
            <wp:effectExtent l="0" t="0" r="13970" b="0"/>
            <wp:docPr id="12" name="图片 12" descr="pie_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e_House"/>
                    <pic:cNvPicPr>
                      <a:picLocks noChangeAspect="1"/>
                    </pic:cNvPicPr>
                  </pic:nvPicPr>
                  <pic:blipFill>
                    <a:blip r:embed="rId14"/>
                    <a:stretch>
                      <a:fillRect/>
                    </a:stretch>
                  </pic:blipFill>
                  <pic:spPr>
                    <a:xfrm>
                      <a:off x="0" y="0"/>
                      <a:ext cx="2592070" cy="2592070"/>
                    </a:xfrm>
                    <a:prstGeom prst="rect">
                      <a:avLst/>
                    </a:prstGeom>
                  </pic:spPr>
                </pic:pic>
              </a:graphicData>
            </a:graphic>
          </wp:inline>
        </w:drawing>
      </w:r>
      <w:r>
        <w:rPr>
          <w:rFonts w:hint="default" w:ascii="Times New Roman" w:hAnsi="Times New Roman" w:cs="Times New Roman"/>
          <w:sz w:val="24"/>
          <w:szCs w:val="24"/>
          <w:lang w:val="en-US" w:eastAsia="zh-CN"/>
        </w:rPr>
        <w:drawing>
          <wp:inline distT="0" distB="0" distL="114300" distR="114300">
            <wp:extent cx="2592070" cy="2592070"/>
            <wp:effectExtent l="0" t="0" r="13970" b="0"/>
            <wp:docPr id="13" name="图片 13" descr="pie_Se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ie_Senate"/>
                    <pic:cNvPicPr>
                      <a:picLocks noChangeAspect="1"/>
                    </pic:cNvPicPr>
                  </pic:nvPicPr>
                  <pic:blipFill>
                    <a:blip r:embed="rId15"/>
                    <a:stretch>
                      <a:fillRect/>
                    </a:stretch>
                  </pic:blipFill>
                  <pic:spPr>
                    <a:xfrm>
                      <a:off x="0" y="0"/>
                      <a:ext cx="2592070" cy="2592070"/>
                    </a:xfrm>
                    <a:prstGeom prst="rect">
                      <a:avLst/>
                    </a:prstGeom>
                  </pic:spPr>
                </pic:pic>
              </a:graphicData>
            </a:graphic>
          </wp:inline>
        </w:drawing>
      </w:r>
    </w:p>
    <w:p w14:paraId="050B58F3">
      <w:pPr>
        <w:pStyle w:val="3"/>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14:paraId="2EBA5F85">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Some little differences in topic distribution can be observed across groups. Republicans exhibit a slightly higher share of federal level topics compared to Democrats, while Democrats are relatively more concentrated at the state level. Similarly, senators show a marginally higher proportion of federal -level issues, while House members display a greater emphasis on state level. However, these differences are small in magnitude and do not reveal clear or systematic patterns that would suggest fundamentally distinct topic-level strategies across parties or chambers. A more conservative interpretation is that these variations likely reflect model uncertainty or sampling noise rather than substantively different underlying behaviors. Overall, the distributions remain highly similar across groups, indicating that topic-level emphasis is broadly consistent within this dataset.</w:t>
      </w:r>
    </w:p>
    <w:p w14:paraId="287EFE25">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Discussion</w:t>
      </w:r>
    </w:p>
    <w:p w14:paraId="1251BAA0">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This project develops a multi-stage pipeline to classify the issue level of social media </w:t>
      </w:r>
      <w:r>
        <w:rPr>
          <w:rFonts w:hint="eastAsia" w:ascii="Times New Roman" w:hAnsi="Times New Roman" w:cs="Times New Roman"/>
          <w:sz w:val="24"/>
          <w:szCs w:val="24"/>
          <w:lang w:val="en-US" w:eastAsia="zh-CN"/>
        </w:rPr>
        <w:t xml:space="preserve">texts </w:t>
      </w:r>
      <w:r>
        <w:rPr>
          <w:rFonts w:hint="default" w:ascii="Times New Roman" w:hAnsi="Times New Roman" w:cs="Times New Roman"/>
          <w:sz w:val="24"/>
          <w:szCs w:val="24"/>
          <w:lang w:val="en-US" w:eastAsia="zh-CN"/>
        </w:rPr>
        <w:t>under a federal system, with a particular focus on distinguishing federal, state, and local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level attention. Rather than relying on manual annotation or predefined labels, the core contribution of this study lies in its labeling strategy. By combining an unsupervised topic model with word embeddings, </w:t>
      </w:r>
      <w:r>
        <w:rPr>
          <w:rFonts w:hint="eastAsia" w:ascii="Times New Roman" w:hAnsi="Times New Roman" w:cs="Times New Roman"/>
          <w:sz w:val="24"/>
          <w:szCs w:val="24"/>
          <w:lang w:val="en-US" w:eastAsia="zh-CN"/>
        </w:rPr>
        <w:t>I</w:t>
      </w:r>
      <w:r>
        <w:rPr>
          <w:rFonts w:hint="default" w:ascii="Times New Roman" w:hAnsi="Times New Roman" w:cs="Times New Roman"/>
          <w:sz w:val="24"/>
          <w:szCs w:val="24"/>
          <w:lang w:val="en-US" w:eastAsia="zh-CN"/>
        </w:rPr>
        <w:t xml:space="preserve"> construct</w:t>
      </w:r>
      <w:r>
        <w:rPr>
          <w:rFonts w:hint="eastAsia" w:ascii="Times New Roman" w:hAnsi="Times New Roman" w:cs="Times New Roman"/>
          <w:sz w:val="24"/>
          <w:szCs w:val="24"/>
          <w:lang w:val="en-US" w:eastAsia="zh-CN"/>
        </w:rPr>
        <w:t>ed</w:t>
      </w:r>
      <w:r>
        <w:rPr>
          <w:rFonts w:hint="default" w:ascii="Times New Roman" w:hAnsi="Times New Roman" w:cs="Times New Roman"/>
          <w:sz w:val="24"/>
          <w:szCs w:val="24"/>
          <w:lang w:val="en-US" w:eastAsia="zh-CN"/>
        </w:rPr>
        <w:t xml:space="preserve"> labels that were grounded in the latent semantic structure of the text while remaining interpretable in substantive political terms.</w:t>
      </w:r>
    </w:p>
    <w:p w14:paraId="6FD06811">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Specifically, latent topics inferred by the LDA model were mapped onto federal, state, and local dimensions through embedding-based cosine similarity. This approach avoided the need to assign discrete human-readable labels to topics, thereby preserving the probabilistic nature of topic membership. Each document was then labeled based on a weighted aggregation of topic-level semantic scores, allowing documents to reflect mixtures of issues rather than forcing sharp categorical boundaries at the topic level. The orthogonalization of embedding dimensions further improved this process by addressing semantic overlap among closely related concepts, resulting in more distinct and informative document-level scores.</w:t>
      </w:r>
    </w:p>
    <w:p w14:paraId="1AAE8FAC">
      <w:pPr>
        <w:pStyle w:val="5"/>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There are several promising directions for future research. First, expanding the training data would likely improve model stability and classification performance. Second, the labeling procedure itself could be refined by incorporating richer sets of reference terms, domain-specific embeddings trained on political corpora, or alternative methods for disentangling correlated semantic dimensions. Finally, the current framework could be extended beyond the federal–state–local distinction to study other latent dimensions of political communication, such as policy domains or governance functions. Taken together, these extensions would further strengthen the generalizability and usefulness of the approach proposed in this study.</w:t>
      </w:r>
    </w:p>
    <w:p w14:paraId="6F1AB28B">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26722E77">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3544D8C8">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23B3E5DA">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596B308E">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0692F18C">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74FD0DB9">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79B069AD">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58254648">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p>
    <w:p w14:paraId="345F6576">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b/>
          <w:bCs/>
          <w:sz w:val="24"/>
          <w:szCs w:val="24"/>
          <w:lang w:val="en-US" w:eastAsia="zh-CN"/>
        </w:rPr>
      </w:pPr>
      <w:r>
        <w:rPr>
          <w:rFonts w:hint="eastAsia" w:ascii="Times New Roman" w:hAnsi="Times New Roman" w:cs="Times New Roman" w:eastAsiaTheme="minorEastAsia"/>
          <w:b/>
          <w:bCs/>
          <w:sz w:val="24"/>
          <w:szCs w:val="24"/>
          <w:lang w:val="en-US" w:eastAsia="zh-CN"/>
        </w:rPr>
        <w:t>References</w:t>
      </w:r>
    </w:p>
    <w:p w14:paraId="79EA52F5">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Barberá, P., Casas, A., Nagler, J., Egan, P. J., Bonneau, R., Jost, J. T., &amp; Tucker, J. A.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sz w:val="24"/>
          <w:szCs w:val="24"/>
          <w:lang w:val="en-US" w:eastAsia="zh-CN"/>
        </w:rPr>
        <w:t xml:space="preserve">(2019). Who leads? Who follows? Measuring issue attention and agenda setting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sz w:val="24"/>
          <w:szCs w:val="24"/>
          <w:lang w:val="en-US" w:eastAsia="zh-CN"/>
        </w:rPr>
        <w:t xml:space="preserve">by legislators and the mass public using social media data. </w:t>
      </w:r>
      <w:r>
        <w:rPr>
          <w:rFonts w:hint="eastAsia" w:ascii="Times New Roman" w:hAnsi="Times New Roman" w:cs="Times New Roman" w:eastAsiaTheme="minorEastAsia"/>
          <w:i/>
          <w:iCs/>
          <w:sz w:val="24"/>
          <w:szCs w:val="24"/>
          <w:lang w:val="en-US" w:eastAsia="zh-CN"/>
        </w:rPr>
        <w:t xml:space="preserve">American Political </w:t>
      </w:r>
      <w:r>
        <w:rPr>
          <w:rFonts w:hint="eastAsia" w:ascii="Times New Roman" w:hAnsi="Times New Roman" w:cs="Times New Roman" w:eastAsiaTheme="minorEastAsia"/>
          <w:i/>
          <w:iCs/>
          <w:sz w:val="24"/>
          <w:szCs w:val="24"/>
          <w:lang w:val="en-US" w:eastAsia="zh-CN"/>
        </w:rPr>
        <w:tab/>
      </w:r>
      <w:r>
        <w:rPr>
          <w:rFonts w:hint="eastAsia" w:ascii="Times New Roman" w:hAnsi="Times New Roman" w:cs="Times New Roman" w:eastAsiaTheme="minorEastAsia"/>
          <w:i/>
          <w:iCs/>
          <w:sz w:val="24"/>
          <w:szCs w:val="24"/>
          <w:lang w:val="en-US" w:eastAsia="zh-CN"/>
        </w:rPr>
        <w:t>Science Review</w:t>
      </w:r>
      <w:r>
        <w:rPr>
          <w:rFonts w:hint="eastAsia" w:ascii="Times New Roman" w:hAnsi="Times New Roman" w:cs="Times New Roman" w:eastAsiaTheme="minorEastAsia"/>
          <w:sz w:val="24"/>
          <w:szCs w:val="24"/>
          <w:lang w:val="en-US" w:eastAsia="zh-CN"/>
        </w:rPr>
        <w:t>, 113(4), 883–901. https://doi.org/10.1017/S0003055419000352</w:t>
      </w:r>
    </w:p>
    <w:p w14:paraId="17ED57F8">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Blei, D. M., Ng, A. Y., &amp; Jordan, M. I. (2003). Latent Dirichlet Allocation. </w:t>
      </w:r>
      <w:r>
        <w:rPr>
          <w:rFonts w:hint="eastAsia" w:ascii="Times New Roman" w:hAnsi="Times New Roman" w:cs="Times New Roman" w:eastAsiaTheme="minorEastAsia"/>
          <w:i/>
          <w:iCs/>
          <w:sz w:val="24"/>
          <w:szCs w:val="24"/>
          <w:lang w:val="en-US" w:eastAsia="zh-CN"/>
        </w:rPr>
        <w:t xml:space="preserve">Journal of </w:t>
      </w:r>
      <w:r>
        <w:rPr>
          <w:rFonts w:hint="eastAsia" w:ascii="Times New Roman" w:hAnsi="Times New Roman" w:cs="Times New Roman" w:eastAsiaTheme="minorEastAsia"/>
          <w:i/>
          <w:iCs/>
          <w:sz w:val="24"/>
          <w:szCs w:val="24"/>
          <w:lang w:val="en-US" w:eastAsia="zh-CN"/>
        </w:rPr>
        <w:tab/>
      </w:r>
      <w:r>
        <w:rPr>
          <w:rFonts w:hint="eastAsia" w:ascii="Times New Roman" w:hAnsi="Times New Roman" w:cs="Times New Roman" w:eastAsiaTheme="minorEastAsia"/>
          <w:i/>
          <w:iCs/>
          <w:sz w:val="24"/>
          <w:szCs w:val="24"/>
          <w:lang w:val="en-US" w:eastAsia="zh-CN"/>
        </w:rPr>
        <w:t>Machine Learning Research</w:t>
      </w: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sz w:val="24"/>
          <w:szCs w:val="24"/>
          <w:lang w:val="en-US" w:eastAsia="zh-CN"/>
        </w:rPr>
        <w:t xml:space="preserve">993–1022.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color w:val="auto"/>
          <w:sz w:val="24"/>
          <w:szCs w:val="24"/>
          <w:u w:val="none"/>
          <w:lang w:val="en-US" w:eastAsia="zh-CN"/>
        </w:rPr>
        <w:t>https://www.jmlr.org/papers/v3/blei03a.ht</w:t>
      </w:r>
      <w:bookmarkStart w:id="0" w:name="_GoBack"/>
      <w:bookmarkEnd w:id="0"/>
      <w:r>
        <w:rPr>
          <w:rFonts w:hint="eastAsia" w:ascii="Times New Roman" w:hAnsi="Times New Roman" w:cs="Times New Roman" w:eastAsiaTheme="minorEastAsia"/>
          <w:color w:val="auto"/>
          <w:sz w:val="24"/>
          <w:szCs w:val="24"/>
          <w:u w:val="none"/>
          <w:lang w:val="en-US" w:eastAsia="zh-CN"/>
        </w:rPr>
        <w:t>ml</w:t>
      </w:r>
    </w:p>
    <w:p w14:paraId="11D712F3">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Motolinia, L. (2021). Electoral accountability and particularistic legislation: Evidence </w:t>
      </w:r>
      <w:r>
        <w:rPr>
          <w:rFonts w:hint="default" w:ascii="Times New Roman" w:hAnsi="Times New Roman" w:cs="Times New Roman"/>
          <w:sz w:val="24"/>
          <w:szCs w:val="24"/>
          <w:lang w:val="en-US" w:eastAsia="zh-CN"/>
        </w:rPr>
        <w:tab/>
      </w:r>
      <w:r>
        <w:rPr>
          <w:rFonts w:hint="eastAsia" w:ascii="Times New Roman" w:hAnsi="Times New Roman" w:cs="Times New Roman" w:eastAsiaTheme="minorEastAsia"/>
          <w:sz w:val="24"/>
          <w:szCs w:val="24"/>
          <w:lang w:val="en-US" w:eastAsia="zh-CN"/>
        </w:rPr>
        <w:t xml:space="preserve">from an electoral reform in Mexico. </w:t>
      </w:r>
      <w:r>
        <w:rPr>
          <w:rFonts w:hint="eastAsia" w:ascii="Times New Roman" w:hAnsi="Times New Roman" w:cs="Times New Roman" w:eastAsiaTheme="minorEastAsia"/>
          <w:i/>
          <w:iCs/>
          <w:sz w:val="24"/>
          <w:szCs w:val="24"/>
          <w:lang w:val="en-US" w:eastAsia="zh-CN"/>
        </w:rPr>
        <w:t>American Political Science Review</w:t>
      </w:r>
      <w:r>
        <w:rPr>
          <w:rFonts w:hint="eastAsia" w:ascii="Times New Roman" w:hAnsi="Times New Roman" w:cs="Times New Roman" w:eastAsiaTheme="minorEastAsia"/>
          <w:sz w:val="24"/>
          <w:szCs w:val="24"/>
          <w:lang w:val="en-US" w:eastAsia="zh-CN"/>
        </w:rPr>
        <w:t xml:space="preserve">, 115(1), </w:t>
      </w:r>
      <w:r>
        <w:rPr>
          <w:rFonts w:hint="default" w:ascii="Times New Roman" w:hAnsi="Times New Roman" w:cs="Times New Roman"/>
          <w:sz w:val="24"/>
          <w:szCs w:val="24"/>
          <w:lang w:val="en-US" w:eastAsia="zh-CN"/>
        </w:rPr>
        <w:tab/>
      </w:r>
      <w:r>
        <w:rPr>
          <w:rFonts w:hint="eastAsia" w:ascii="Times New Roman" w:hAnsi="Times New Roman" w:cs="Times New Roman" w:eastAsiaTheme="minorEastAsia"/>
          <w:sz w:val="24"/>
          <w:szCs w:val="24"/>
          <w:lang w:val="en-US" w:eastAsia="zh-CN"/>
        </w:rPr>
        <w:t>97–113. https://doi.org/10.1017/S0003055420000672</w:t>
      </w:r>
    </w:p>
    <w:p w14:paraId="5883736B">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Rheault, Ludovic, and Christopher Cochrane. (2020).Word Embeddings for the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sz w:val="24"/>
          <w:szCs w:val="24"/>
          <w:lang w:val="en-US" w:eastAsia="zh-CN"/>
        </w:rPr>
        <w:t>Analysis of Ideological Placement in Parliamentary Corpora.</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i/>
          <w:iCs/>
          <w:sz w:val="24"/>
          <w:szCs w:val="24"/>
          <w:lang w:val="en-US" w:eastAsia="zh-CN"/>
        </w:rPr>
        <w:t>Political Analysis</w:t>
      </w:r>
      <w:r>
        <w:rPr>
          <w:rFonts w:hint="eastAsia" w:ascii="Times New Roman" w:hAnsi="Times New Roman" w:cs="Times New Roman" w:eastAsiaTheme="minorEastAsia"/>
          <w:sz w:val="24"/>
          <w:szCs w:val="24"/>
          <w:lang w:val="en-US" w:eastAsia="zh-CN"/>
        </w:rPr>
        <w:t xml:space="preserve">,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sz w:val="24"/>
          <w:szCs w:val="24"/>
          <w:lang w:val="en-US" w:eastAsia="zh-CN"/>
        </w:rPr>
        <w:t>28(1), 112–133. https://doi.org/10.1017/pan.2019.26</w:t>
      </w:r>
    </w:p>
    <w:p w14:paraId="1F2AFEDB">
      <w:pPr>
        <w:keepNext w:val="0"/>
        <w:keepLines w:val="0"/>
        <w:pageBreakBefore w:val="0"/>
        <w:kinsoku/>
        <w:wordWrap/>
        <w:overflowPunct/>
        <w:topLinePunct w:val="0"/>
        <w:autoSpaceDE/>
        <w:autoSpaceDN/>
        <w:bidi w:val="0"/>
        <w:adjustRightInd/>
        <w:snapToGrid/>
        <w:spacing w:beforeAutospacing="0" w:after="157" w:afterLines="50" w:afterAutospacing="0"/>
        <w:jc w:val="left"/>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 xml:space="preserve">Tai, Y. C., Nakka, N., Patni, K. N., Rajtmajer, S., Munger, K., Lin, Y.-R., &amp;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sz w:val="24"/>
          <w:szCs w:val="24"/>
          <w:lang w:val="en-US" w:eastAsia="zh-CN"/>
        </w:rPr>
        <w:t xml:space="preserve">Desmarais, B. (2024). Digitally Accountable Public Representation (DAPR) data </w:t>
      </w:r>
      <w:r>
        <w:rPr>
          <w:rFonts w:hint="eastAsia" w:ascii="Times New Roman" w:hAnsi="Times New Roman" w:cs="Times New Roman" w:eastAsiaTheme="minorEastAsia"/>
          <w:sz w:val="24"/>
          <w:szCs w:val="24"/>
          <w:lang w:val="en-US" w:eastAsia="zh-CN"/>
        </w:rPr>
        <w:tab/>
      </w:r>
      <w:r>
        <w:rPr>
          <w:rFonts w:hint="eastAsia" w:ascii="Times New Roman" w:hAnsi="Times New Roman" w:cs="Times New Roman" w:eastAsiaTheme="minorEastAsia"/>
          <w:sz w:val="24"/>
          <w:szCs w:val="24"/>
          <w:lang w:val="en-US" w:eastAsia="zh-CN"/>
        </w:rPr>
        <w:t xml:space="preserve">(Version 8) [Dataset]. </w:t>
      </w:r>
      <w:r>
        <w:rPr>
          <w:rFonts w:hint="eastAsia" w:ascii="Times New Roman" w:hAnsi="Times New Roman" w:cs="Times New Roman" w:eastAsiaTheme="minorEastAsia"/>
          <w:i/>
          <w:iCs/>
          <w:sz w:val="24"/>
          <w:szCs w:val="24"/>
          <w:lang w:val="en-US" w:eastAsia="zh-CN"/>
        </w:rPr>
        <w:t>Harvard Dataverse</w:t>
      </w:r>
      <w:r>
        <w:rPr>
          <w:rFonts w:hint="eastAsia" w:ascii="Times New Roman" w:hAnsi="Times New Roman" w:cs="Times New Roman" w:eastAsiaTheme="minorEastAsia"/>
          <w:sz w:val="24"/>
          <w:szCs w:val="24"/>
          <w:lang w:val="en-US" w:eastAsia="zh-CN"/>
        </w:rPr>
        <w:t>. https://doi.org/10.7910/DVN/A9EPYJ</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ABC40DD">
      <w:pPr>
        <w:pStyle w:val="4"/>
        <w:snapToGrid w:val="0"/>
      </w:pPr>
      <w:r>
        <w:rPr>
          <w:rStyle w:val="11"/>
        </w:rPr>
        <w:footnoteRef/>
      </w:r>
      <w:r>
        <w:t xml:space="preserve"> </w:t>
      </w:r>
      <w:r>
        <w:rPr>
          <w:rFonts w:hint="default" w:ascii="Times New Roman" w:hAnsi="Times New Roman" w:cs="Times New Roman"/>
        </w:rPr>
        <w:t>Apart from the data obtained from X, I also used the tweets_congress data for application. I downloaded this data</w:t>
      </w:r>
      <w:r>
        <w:rPr>
          <w:rFonts w:hint="default" w:ascii="Times New Roman" w:hAnsi="Times New Roman" w:cs="Times New Roman"/>
          <w:lang w:val="en-US"/>
        </w:rPr>
        <w:t xml:space="preserve"> </w:t>
      </w:r>
      <w:r>
        <w:rPr>
          <w:rFonts w:hint="default" w:ascii="Times New Roman" w:hAnsi="Times New Roman" w:cs="Times New Roman"/>
        </w:rPr>
        <w:t>set from our course page. I’m not sure how to cite it, so I mentioned here as a footnote.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208794"/>
    <w:multiLevelType w:val="singleLevel"/>
    <w:tmpl w:val="D9208794"/>
    <w:lvl w:ilvl="0" w:tentative="0">
      <w:start w:val="1"/>
      <w:numFmt w:val="decimal"/>
      <w:suff w:val="space"/>
      <w:lvlText w:val="%1."/>
      <w:lvlJc w:val="left"/>
    </w:lvl>
  </w:abstractNum>
  <w:abstractNum w:abstractNumId="1">
    <w:nsid w:val="21CEF90B"/>
    <w:multiLevelType w:val="singleLevel"/>
    <w:tmpl w:val="21CEF90B"/>
    <w:lvl w:ilvl="0" w:tentative="0">
      <w:start w:val="1"/>
      <w:numFmt w:val="lowerLetter"/>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2B21FF"/>
    <w:rsid w:val="0FEE1A45"/>
    <w:rsid w:val="13783994"/>
    <w:rsid w:val="147E6127"/>
    <w:rsid w:val="1691119C"/>
    <w:rsid w:val="37B728D6"/>
    <w:rsid w:val="58587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footnote text"/>
    <w:basedOn w:val="1"/>
    <w:uiPriority w:val="0"/>
    <w:pPr>
      <w:snapToGrid w:val="0"/>
      <w:jc w:val="left"/>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styleId="11">
    <w:name w:val="footnote reference"/>
    <w:basedOn w:val="7"/>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1232</Words>
  <Characters>6876</Characters>
  <Lines>0</Lines>
  <Paragraphs>0</Paragraphs>
  <TotalTime>1</TotalTime>
  <ScaleCrop>false</ScaleCrop>
  <LinksUpToDate>false</LinksUpToDate>
  <CharactersWithSpaces>8083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2025-12-14T21:27:00Z</dcterms:created>
  <dc:creator>ASUS</dc:creator>
  <cp:lastModifiedBy>douyi</cp:lastModifiedBy>
  <dcterms:modified xsi:type="dcterms:W3CDTF">2025-12-17T15:01:21Z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eyJoZGlkIjoiZWY3ZTM3ZjY1YTM3OWU0NDRlMWY3OTg1NmMyOGZmMWEiLCJ1c2VySWQiOiIzNzE5NDk3NjYifQ==</vt:lpwstr>
  </property>
  <property fmtid="{D5CDD505-2E9C-101B-9397-08002B2CF9AE}" pid="4" name="ICV">
    <vt:lpwstr>9468761F4D84416988CD849326B21574_12</vt:lpwstr>
  </property>
</Properties>
</file>