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5142AB">
      <w:pPr>
        <w:spacing w:line="560" w:lineRule="exact"/>
        <w:ind w:firstLineChars="200" w:firstLine="640"/>
        <w:rPr>
          <w:rFonts w:ascii="黑体" w:eastAsia="黑体" w:hAnsi="黑体" w:cs="黑体"/>
          <w:bCs w:val="0"/>
          <w:color w:val="0000FF"/>
          <w:sz w:val="32"/>
          <w:szCs w:val="32"/>
          <w:lang w:val="en"/>
        </w:rPr>
      </w:pPr>
      <w:bookmarkStart w:id="0" w:name="_GoBack"/>
      <w:bookmarkEnd w:id="0"/>
      <w:r>
        <w:rPr>
          <w:rFonts w:ascii="黑体" w:eastAsia="黑体" w:cs="黑体" w:hint="eastAsia"/>
          <w:color w:val="0000FF"/>
          <w:sz w:val="32"/>
          <w:szCs w:val="32"/>
        </w:rPr>
        <w:t>一、</w:t>
      </w:r>
      <w:r>
        <w:rPr>
          <w:rFonts w:ascii="黑体" w:eastAsia="黑体" w:hAnsi="黑体" w:cs="黑体" w:hint="eastAsia"/>
          <w:bCs w:val="0"/>
          <w:color w:val="0000FF"/>
          <w:sz w:val="32"/>
          <w:szCs w:val="32"/>
          <w:lang w:val="en"/>
        </w:rPr>
        <w:t>复商复市情况</w:t>
      </w:r>
    </w:p>
    <w:p w:rsidR="00000000" w:rsidRDefault="005142AB">
      <w:pPr>
        <w:spacing w:line="560" w:lineRule="exact"/>
        <w:ind w:firstLineChars="200" w:firstLine="643"/>
        <w:rPr>
          <w:rFonts w:ascii="楷体" w:eastAsia="楷体" w:hAnsi="楷体" w:cs="楷体" w:hint="eastAsia"/>
          <w:b/>
          <w:color w:val="0000FF"/>
          <w:sz w:val="32"/>
          <w:szCs w:val="32"/>
          <w:lang w:val="en"/>
        </w:rPr>
      </w:pPr>
      <w:r>
        <w:rPr>
          <w:rFonts w:ascii="楷体" w:eastAsia="楷体" w:hAnsi="楷体" w:cs="楷体" w:hint="eastAsia"/>
          <w:b/>
          <w:color w:val="0000FF"/>
          <w:sz w:val="32"/>
          <w:szCs w:val="32"/>
          <w:lang w:val="en"/>
        </w:rPr>
        <w:t>（一）限上企业复商复市情况</w:t>
      </w:r>
    </w:p>
    <w:p w:rsidR="00000000" w:rsidRDefault="005142AB">
      <w:pPr>
        <w:spacing w:line="560" w:lineRule="exact"/>
        <w:ind w:firstLineChars="200" w:firstLine="640"/>
        <w:rPr>
          <w:rFonts w:ascii="仿宋" w:eastAsia="仿宋" w:hAnsi="仿宋" w:cs="仿宋" w:hint="eastAsia"/>
          <w:color w:val="0000FF"/>
          <w:sz w:val="32"/>
          <w:szCs w:val="32"/>
        </w:rPr>
      </w:pPr>
      <w:r>
        <w:rPr>
          <w:rFonts w:ascii="仿宋" w:eastAsia="仿宋" w:hAnsi="仿宋" w:cs="仿宋" w:hint="eastAsia"/>
          <w:color w:val="0000FF"/>
          <w:sz w:val="32"/>
          <w:szCs w:val="32"/>
        </w:rPr>
        <w:t>我市共有限上商贸企业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1504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家，今日复商复市企业数为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29</w:t>
      </w:r>
      <w:r>
        <w:rPr>
          <w:rFonts w:ascii="仿宋" w:eastAsia="仿宋" w:hAnsi="仿宋" w:cs="仿宋"/>
          <w:color w:val="0000FF"/>
          <w:sz w:val="32"/>
          <w:szCs w:val="32"/>
          <w:lang w:val="en"/>
        </w:rPr>
        <w:t>6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家，较昨日新增</w:t>
      </w:r>
      <w:r>
        <w:rPr>
          <w:rFonts w:ascii="仿宋" w:eastAsia="仿宋" w:hAnsi="仿宋" w:cs="仿宋"/>
          <w:color w:val="0000FF"/>
          <w:sz w:val="32"/>
          <w:szCs w:val="32"/>
          <w:lang w:val="en"/>
        </w:rPr>
        <w:t>4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户，复市率为</w:t>
      </w:r>
      <w:r>
        <w:rPr>
          <w:rFonts w:ascii="仿宋" w:eastAsia="仿宋" w:hAnsi="仿宋" w:cs="仿宋"/>
          <w:color w:val="0000FF"/>
          <w:sz w:val="32"/>
          <w:szCs w:val="32"/>
          <w:lang w:val="en"/>
        </w:rPr>
        <w:t>19.68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%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，较昨日提高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0.</w:t>
      </w:r>
      <w:r>
        <w:rPr>
          <w:rFonts w:ascii="仿宋" w:eastAsia="仿宋" w:hAnsi="仿宋" w:cs="仿宋"/>
          <w:color w:val="0000FF"/>
          <w:sz w:val="32"/>
          <w:szCs w:val="32"/>
          <w:lang w:val="en"/>
        </w:rPr>
        <w:t>27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个百分点。其中，德惠新增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2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户，二道新增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1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户，农安新增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1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户。</w:t>
      </w:r>
    </w:p>
    <w:p w:rsidR="00000000" w:rsidRDefault="005142AB">
      <w:pPr>
        <w:spacing w:line="560" w:lineRule="exact"/>
        <w:ind w:firstLineChars="200" w:firstLine="640"/>
        <w:rPr>
          <w:rFonts w:ascii="仿宋" w:eastAsia="仿宋" w:hAnsi="仿宋" w:cs="仿宋" w:hint="eastAsia"/>
          <w:color w:val="0000FF"/>
          <w:sz w:val="32"/>
          <w:szCs w:val="32"/>
        </w:rPr>
      </w:pPr>
      <w:r>
        <w:rPr>
          <w:rFonts w:ascii="仿宋" w:eastAsia="仿宋" w:hAnsi="仿宋" w:cs="仿宋" w:hint="eastAsia"/>
          <w:color w:val="0000FF"/>
          <w:sz w:val="32"/>
          <w:szCs w:val="32"/>
        </w:rPr>
        <w:t>限上商贸企业总人数约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8.54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万人（目前统计数，后期可能会有变化），今日到岗人数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1.88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万人，较昨日新增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37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人，到岗率为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22.01%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，较昨日提高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0.04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个百分点。（详见附件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1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）。</w:t>
      </w:r>
    </w:p>
    <w:p w:rsidR="00000000" w:rsidRDefault="005142AB">
      <w:pPr>
        <w:spacing w:line="560" w:lineRule="exact"/>
        <w:ind w:firstLineChars="200" w:firstLine="643"/>
        <w:rPr>
          <w:rFonts w:ascii="楷体" w:eastAsia="楷体" w:hAnsi="楷体" w:cs="楷体" w:hint="eastAsia"/>
          <w:b/>
          <w:color w:val="0000FF"/>
          <w:sz w:val="32"/>
          <w:szCs w:val="32"/>
          <w:lang w:val="en"/>
        </w:rPr>
      </w:pPr>
      <w:r>
        <w:rPr>
          <w:rFonts w:ascii="楷体" w:eastAsia="楷体" w:hAnsi="楷体" w:cs="楷体" w:hint="eastAsia"/>
          <w:b/>
          <w:color w:val="0000FF"/>
          <w:sz w:val="32"/>
          <w:szCs w:val="32"/>
        </w:rPr>
        <w:t>（二）</w:t>
      </w:r>
      <w:r>
        <w:rPr>
          <w:rFonts w:ascii="楷体" w:eastAsia="楷体" w:hAnsi="楷体" w:cs="楷体" w:hint="eastAsia"/>
          <w:b/>
          <w:color w:val="0000FF"/>
          <w:sz w:val="32"/>
          <w:szCs w:val="32"/>
          <w:lang w:val="en"/>
        </w:rPr>
        <w:t>其他商贸主体情况</w:t>
      </w:r>
    </w:p>
    <w:p w:rsidR="00000000" w:rsidRDefault="005142AB">
      <w:pPr>
        <w:spacing w:line="560" w:lineRule="exact"/>
        <w:ind w:firstLineChars="200" w:firstLine="640"/>
        <w:rPr>
          <w:rFonts w:ascii="仿宋" w:eastAsia="仿宋" w:hAnsi="仿宋" w:cs="仿宋" w:hint="eastAsia"/>
          <w:color w:val="0000FF"/>
          <w:sz w:val="32"/>
          <w:szCs w:val="32"/>
        </w:rPr>
      </w:pPr>
      <w:r>
        <w:rPr>
          <w:rFonts w:ascii="仿宋" w:eastAsia="仿宋" w:hAnsi="仿宋" w:cs="仿宋" w:hint="eastAsia"/>
          <w:color w:val="0000FF"/>
          <w:sz w:val="32"/>
          <w:szCs w:val="32"/>
        </w:rPr>
        <w:t>今日各城区、开发区非限上各类商贸经营主体复市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5132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户，较昨日新增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152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户。其中，朝阳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781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户（较昨日新增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146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户）、南关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900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户、宽城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616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户（较昨日新增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97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户）、绿园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651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户（较昨日减少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91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户，主要为防疫不合格关停门店）、二道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703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户、经开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359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户、汽开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500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户、净月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233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户、新区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329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户、中韩示范区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13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户、莲花山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47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户。</w:t>
      </w:r>
    </w:p>
    <w:p w:rsidR="00000000" w:rsidRDefault="005142AB">
      <w:pPr>
        <w:spacing w:line="560" w:lineRule="exact"/>
        <w:ind w:firstLineChars="200" w:firstLine="640"/>
        <w:rPr>
          <w:rFonts w:ascii="仿宋" w:eastAsia="仿宋" w:hAnsi="仿宋" w:cs="仿宋" w:hint="eastAsia"/>
          <w:color w:val="0000FF"/>
          <w:sz w:val="32"/>
          <w:szCs w:val="32"/>
        </w:rPr>
      </w:pPr>
      <w:r>
        <w:rPr>
          <w:rFonts w:ascii="仿宋" w:eastAsia="仿宋" w:hAnsi="仿宋" w:cs="仿宋" w:hint="eastAsia"/>
          <w:color w:val="0000FF"/>
          <w:sz w:val="32"/>
          <w:szCs w:val="32"/>
        </w:rPr>
        <w:t>上岗人数的总计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28201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人，较昨日减少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809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人。其中，朝阳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4450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人（较昨日新增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338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人）、南关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7054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人（较昨日减少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51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人）、宽城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2955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人（较昨日新增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302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人）、绿园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3229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人较昨日减少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1397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人，主要是因为统计口径变化，去掉了本区注册的连锁企业在其他地区门店的员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工数量）、二道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2625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人、经开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1293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人、汽开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1100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人、净月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1512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人、新区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3691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人、中韩示范区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48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人、莲花山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244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人（较昨日减少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1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人）。</w:t>
      </w:r>
    </w:p>
    <w:p w:rsidR="00000000" w:rsidRDefault="005142AB">
      <w:pPr>
        <w:pStyle w:val="5"/>
        <w:spacing w:line="560" w:lineRule="exact"/>
        <w:ind w:left="0" w:firstLineChars="200" w:firstLine="643"/>
        <w:rPr>
          <w:rFonts w:ascii="楷体" w:eastAsia="楷体" w:hAnsi="楷体" w:cs="楷体"/>
          <w:b/>
          <w:color w:val="0000FF"/>
          <w:sz w:val="32"/>
          <w:szCs w:val="32"/>
        </w:rPr>
      </w:pPr>
      <w:r>
        <w:rPr>
          <w:rFonts w:ascii="楷体" w:eastAsia="楷体" w:hAnsi="楷体" w:cs="楷体" w:hint="eastAsia"/>
          <w:b/>
          <w:color w:val="0000FF"/>
          <w:sz w:val="32"/>
          <w:szCs w:val="32"/>
        </w:rPr>
        <w:lastRenderedPageBreak/>
        <w:t>（三）重点商贸企业情况（</w:t>
      </w:r>
      <w:r>
        <w:rPr>
          <w:rFonts w:ascii="楷体" w:eastAsia="楷体" w:hAnsi="楷体" w:cs="楷体" w:hint="eastAsia"/>
          <w:b/>
          <w:color w:val="0000FF"/>
          <w:sz w:val="32"/>
          <w:szCs w:val="32"/>
        </w:rPr>
        <w:t>3</w:t>
      </w:r>
      <w:r>
        <w:rPr>
          <w:rFonts w:ascii="楷体" w:eastAsia="楷体" w:hAnsi="楷体" w:cs="楷体"/>
          <w:b/>
          <w:color w:val="0000FF"/>
          <w:sz w:val="32"/>
          <w:szCs w:val="32"/>
          <w:lang w:val="en"/>
        </w:rPr>
        <w:t>1</w:t>
      </w:r>
      <w:r>
        <w:rPr>
          <w:rFonts w:ascii="楷体" w:eastAsia="楷体" w:hAnsi="楷体" w:cs="楷体" w:hint="eastAsia"/>
          <w:b/>
          <w:color w:val="0000FF"/>
          <w:sz w:val="32"/>
          <w:szCs w:val="32"/>
        </w:rPr>
        <w:t>户）</w:t>
      </w:r>
    </w:p>
    <w:p w:rsidR="00000000" w:rsidRDefault="005142AB">
      <w:pPr>
        <w:pStyle w:val="5"/>
        <w:spacing w:line="560" w:lineRule="exact"/>
        <w:ind w:left="0" w:firstLineChars="200" w:firstLine="640"/>
        <w:rPr>
          <w:rFonts w:ascii="仿宋" w:eastAsia="仿宋" w:hAnsi="仿宋" w:cs="仿宋" w:hint="eastAsia"/>
          <w:color w:val="0000FF"/>
          <w:sz w:val="32"/>
          <w:szCs w:val="32"/>
        </w:rPr>
      </w:pPr>
      <w:r>
        <w:rPr>
          <w:rFonts w:ascii="仿宋" w:eastAsia="仿宋" w:hAnsi="仿宋" w:cs="仿宋" w:hint="eastAsia"/>
          <w:color w:val="0000FF"/>
          <w:sz w:val="32"/>
          <w:szCs w:val="32"/>
        </w:rPr>
        <w:t>市商务局日调度的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31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户（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30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户重点企业和供销社合资企业）重点商贸企业中，今日复市的总计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11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户，总复市率为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35.48%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，总计到岗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9270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人，总到岗率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38%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。未复市的企业主要为百货商场及汽车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4S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店，这些企业将待社会面管控放开后，逐步恢复经营（详见附件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2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）。</w:t>
      </w:r>
    </w:p>
    <w:p w:rsidR="00000000" w:rsidRDefault="005142AB">
      <w:pPr>
        <w:pStyle w:val="5"/>
        <w:spacing w:line="560" w:lineRule="exact"/>
        <w:ind w:left="0" w:firstLineChars="200" w:firstLine="643"/>
        <w:rPr>
          <w:rFonts w:ascii="楷体" w:eastAsia="楷体" w:hAnsi="楷体" w:cs="楷体"/>
          <w:b/>
          <w:color w:val="0000FF"/>
          <w:sz w:val="32"/>
          <w:szCs w:val="32"/>
        </w:rPr>
      </w:pPr>
      <w:r>
        <w:rPr>
          <w:rFonts w:ascii="楷体" w:eastAsia="楷体" w:hAnsi="楷体" w:cs="楷体" w:hint="eastAsia"/>
          <w:b/>
          <w:color w:val="0000FF"/>
          <w:sz w:val="32"/>
          <w:szCs w:val="32"/>
        </w:rPr>
        <w:t>（四）重点电商经营情况</w:t>
      </w:r>
    </w:p>
    <w:p w:rsidR="00000000" w:rsidRDefault="005142AB">
      <w:pPr>
        <w:spacing w:line="560" w:lineRule="exact"/>
        <w:ind w:firstLineChars="200" w:firstLine="643"/>
        <w:rPr>
          <w:rFonts w:ascii="仿宋" w:eastAsia="仿宋" w:hAnsi="仿宋" w:cs="仿宋" w:hint="eastAsia"/>
          <w:b/>
          <w:color w:val="0000FF"/>
          <w:sz w:val="32"/>
          <w:szCs w:val="32"/>
        </w:rPr>
      </w:pPr>
      <w:r>
        <w:rPr>
          <w:rFonts w:ascii="仿宋" w:eastAsia="仿宋" w:hAnsi="仿宋" w:cs="仿宋" w:hint="eastAsia"/>
          <w:b/>
          <w:color w:val="0000FF"/>
          <w:sz w:val="32"/>
          <w:szCs w:val="32"/>
        </w:rPr>
        <w:t>京东：</w:t>
      </w:r>
      <w:r>
        <w:rPr>
          <w:rFonts w:ascii="仿宋" w:eastAsia="仿宋" w:hAnsi="仿宋" w:cs="仿宋" w:hint="eastAsia"/>
          <w:bCs w:val="0"/>
          <w:color w:val="0000FF"/>
          <w:sz w:val="32"/>
          <w:szCs w:val="32"/>
        </w:rPr>
        <w:t>今日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上岗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549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人，较昨日增加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24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人，预计今日订单能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达到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6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万单。</w:t>
      </w:r>
    </w:p>
    <w:p w:rsidR="00000000" w:rsidRDefault="005142AB">
      <w:pPr>
        <w:spacing w:line="560" w:lineRule="exact"/>
        <w:ind w:firstLineChars="200" w:firstLine="643"/>
        <w:rPr>
          <w:rFonts w:ascii="仿宋" w:eastAsia="仿宋" w:hAnsi="仿宋" w:cs="仿宋" w:hint="eastAsia"/>
          <w:color w:val="0000FF"/>
          <w:sz w:val="32"/>
          <w:szCs w:val="32"/>
        </w:rPr>
      </w:pPr>
      <w:r>
        <w:rPr>
          <w:rFonts w:ascii="仿宋" w:eastAsia="仿宋" w:hAnsi="仿宋" w:cs="仿宋" w:hint="eastAsia"/>
          <w:b/>
          <w:color w:val="0000FF"/>
          <w:sz w:val="32"/>
          <w:szCs w:val="32"/>
        </w:rPr>
        <w:t>美团：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上岗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160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人（含居家办公人员），较昨日增加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10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人，预计今日订单能达到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3000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单。</w:t>
      </w:r>
    </w:p>
    <w:p w:rsidR="00000000" w:rsidRDefault="005142AB">
      <w:pPr>
        <w:spacing w:line="560" w:lineRule="exact"/>
        <w:ind w:firstLineChars="200" w:firstLine="643"/>
        <w:rPr>
          <w:rFonts w:ascii="仿宋" w:eastAsia="仿宋" w:hAnsi="仿宋" w:cs="仿宋" w:hint="eastAsia"/>
          <w:color w:val="0000FF"/>
          <w:sz w:val="32"/>
          <w:szCs w:val="32"/>
        </w:rPr>
      </w:pPr>
      <w:r>
        <w:rPr>
          <w:rFonts w:ascii="仿宋" w:eastAsia="仿宋" w:hAnsi="仿宋" w:cs="仿宋" w:hint="eastAsia"/>
          <w:b/>
          <w:color w:val="0000FF"/>
          <w:sz w:val="32"/>
          <w:szCs w:val="32"/>
        </w:rPr>
        <w:t>饿了么：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目前在净月区试运行线上下单服务，有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124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人居家上岗，较昨日无新增，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预计今天通过饿了么下单的订单将超过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5400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单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。</w:t>
      </w:r>
    </w:p>
    <w:p w:rsidR="00000000" w:rsidRDefault="005142AB">
      <w:pPr>
        <w:pStyle w:val="5"/>
        <w:spacing w:line="560" w:lineRule="exact"/>
        <w:ind w:left="0" w:firstLineChars="200" w:firstLine="641"/>
        <w:rPr>
          <w:rFonts w:ascii="华文楷体" w:eastAsia="华文楷体" w:hAnsi="华文楷体" w:cs="华文楷体" w:hint="eastAsia"/>
          <w:b/>
          <w:bCs w:val="0"/>
          <w:color w:val="0000FF"/>
          <w:sz w:val="32"/>
          <w:szCs w:val="32"/>
        </w:rPr>
      </w:pPr>
      <w:r>
        <w:rPr>
          <w:rFonts w:ascii="华文楷体" w:eastAsia="华文楷体" w:hAnsi="华文楷体" w:cs="华文楷体" w:hint="eastAsia"/>
          <w:b/>
          <w:bCs w:val="0"/>
          <w:color w:val="0000FF"/>
          <w:sz w:val="32"/>
          <w:szCs w:val="32"/>
        </w:rPr>
        <w:t>（五）市级保供企业情况</w:t>
      </w:r>
    </w:p>
    <w:p w:rsidR="00000000" w:rsidRDefault="005142AB">
      <w:pPr>
        <w:pStyle w:val="a0"/>
        <w:spacing w:line="560" w:lineRule="exact"/>
        <w:ind w:firstLine="640"/>
        <w:rPr>
          <w:rFonts w:ascii="仿宋" w:eastAsia="仿宋" w:hAnsi="仿宋" w:cs="仿宋" w:hint="eastAsia"/>
          <w:color w:val="0000FF"/>
          <w:sz w:val="32"/>
          <w:szCs w:val="32"/>
        </w:rPr>
      </w:pPr>
      <w:r>
        <w:rPr>
          <w:rFonts w:ascii="仿宋" w:eastAsia="仿宋" w:hAnsi="仿宋" w:cs="仿宋" w:hint="eastAsia"/>
          <w:color w:val="0000FF"/>
          <w:sz w:val="32"/>
          <w:szCs w:val="32"/>
        </w:rPr>
        <w:t>市级保供企业，共计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517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户（详见附件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5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），市商务局调度的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251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户企业中（不包含农安</w:t>
      </w:r>
      <w:r>
        <w:rPr>
          <w:rFonts w:ascii="仿宋" w:eastAsia="仿宋" w:hAnsi="仿宋" w:cs="仿宋" w:hint="eastAsia"/>
          <w:color w:val="0000FF"/>
          <w:sz w:val="32"/>
          <w:szCs w:val="32"/>
          <w:lang w:val="en"/>
        </w:rPr>
        <w:t>支援长春的保供企业</w:t>
      </w:r>
      <w:r>
        <w:rPr>
          <w:rFonts w:ascii="仿宋" w:eastAsia="仿宋" w:hAnsi="仿宋" w:cs="仿宋" w:hint="eastAsia"/>
          <w:color w:val="0000FF"/>
          <w:sz w:val="32"/>
          <w:szCs w:val="32"/>
          <w:lang w:val="en"/>
        </w:rPr>
        <w:t>5</w:t>
      </w:r>
      <w:r>
        <w:rPr>
          <w:rFonts w:ascii="仿宋" w:eastAsia="仿宋" w:hAnsi="仿宋" w:cs="仿宋" w:hint="eastAsia"/>
          <w:color w:val="0000FF"/>
          <w:sz w:val="32"/>
          <w:szCs w:val="32"/>
          <w:lang w:val="en"/>
        </w:rPr>
        <w:t>户、市场监管局委托发布的药品经销企业</w:t>
      </w:r>
      <w:r>
        <w:rPr>
          <w:rFonts w:ascii="仿宋" w:eastAsia="仿宋" w:hAnsi="仿宋" w:cs="仿宋" w:hint="eastAsia"/>
          <w:color w:val="0000FF"/>
          <w:sz w:val="32"/>
          <w:szCs w:val="32"/>
          <w:lang w:val="en"/>
        </w:rPr>
        <w:t>213</w:t>
      </w:r>
      <w:r>
        <w:rPr>
          <w:rFonts w:ascii="仿宋" w:eastAsia="仿宋" w:hAnsi="仿宋" w:cs="仿宋" w:hint="eastAsia"/>
          <w:color w:val="0000FF"/>
          <w:sz w:val="32"/>
          <w:szCs w:val="32"/>
          <w:lang w:val="en"/>
        </w:rPr>
        <w:t>户、工信局委托药品生</w:t>
      </w:r>
      <w:r>
        <w:rPr>
          <w:rFonts w:ascii="仿宋" w:eastAsia="仿宋" w:hAnsi="仿宋" w:cs="仿宋" w:hint="eastAsia"/>
          <w:color w:val="0000FF"/>
          <w:sz w:val="32"/>
          <w:szCs w:val="32"/>
          <w:lang w:val="en"/>
        </w:rPr>
        <w:t>产企业</w:t>
      </w:r>
      <w:r>
        <w:rPr>
          <w:rFonts w:ascii="仿宋" w:eastAsia="仿宋" w:hAnsi="仿宋" w:cs="仿宋" w:hint="eastAsia"/>
          <w:color w:val="0000FF"/>
          <w:sz w:val="32"/>
          <w:szCs w:val="32"/>
          <w:lang w:val="en"/>
        </w:rPr>
        <w:t>48</w:t>
      </w:r>
      <w:r>
        <w:rPr>
          <w:rFonts w:ascii="仿宋" w:eastAsia="仿宋" w:hAnsi="仿宋" w:cs="仿宋" w:hint="eastAsia"/>
          <w:color w:val="0000FF"/>
          <w:sz w:val="32"/>
          <w:szCs w:val="32"/>
          <w:lang w:val="en"/>
        </w:rPr>
        <w:t>户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），在营企业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241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户。</w:t>
      </w:r>
      <w:r>
        <w:rPr>
          <w:rFonts w:ascii="仿宋" w:eastAsia="仿宋" w:hAnsi="仿宋" w:cs="仿宋" w:hint="eastAsia"/>
          <w:color w:val="0000FF"/>
          <w:sz w:val="32"/>
          <w:szCs w:val="32"/>
          <w:lang w:val="en"/>
        </w:rPr>
        <w:t>总上岗人数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2.25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万人，其中主要超市和电商</w:t>
      </w:r>
      <w:r>
        <w:rPr>
          <w:rFonts w:ascii="仿宋" w:eastAsia="仿宋" w:hAnsi="仿宋" w:cs="仿宋" w:hint="eastAsia"/>
          <w:color w:val="0000FF"/>
          <w:sz w:val="32"/>
          <w:szCs w:val="32"/>
          <w:lang w:val="en"/>
        </w:rPr>
        <w:t>订单数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54.9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万（含为政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府提供的蔬菜包数量）。</w:t>
      </w:r>
    </w:p>
    <w:p w:rsidR="00000000" w:rsidRDefault="005142AB">
      <w:pPr>
        <w:pStyle w:val="5"/>
        <w:spacing w:line="560" w:lineRule="exact"/>
        <w:ind w:left="0" w:firstLineChars="200" w:firstLine="640"/>
        <w:rPr>
          <w:rFonts w:ascii="仿宋" w:eastAsia="仿宋" w:hAnsi="仿宋" w:cs="仿宋" w:hint="eastAsia"/>
          <w:color w:val="0000FF"/>
          <w:sz w:val="32"/>
          <w:szCs w:val="32"/>
          <w:lang w:val="en"/>
        </w:rPr>
      </w:pPr>
    </w:p>
    <w:sectPr w:rsidR="00000000">
      <w:footerReference w:type="default" r:id="rId6"/>
      <w:pgSz w:w="11907" w:h="16840"/>
      <w:pgMar w:top="1701" w:right="1701" w:bottom="1701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5142AB">
      <w:r>
        <w:separator/>
      </w:r>
    </w:p>
  </w:endnote>
  <w:endnote w:type="continuationSeparator" w:id="0">
    <w:p w:rsidR="00000000" w:rsidRDefault="005142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5142AB">
    <w:pPr>
      <w:pStyle w:val="a5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027" o:spid="_x0000_s2049" type="#_x0000_t202" style="position:absolute;margin-left:0;margin-top:0;width:5.7pt;height:10.5pt;z-index:251657728;mso-wrap-style:none;mso-position-horizontal:center;mso-position-horizontal-relative:margin" filled="f" stroked="f">
          <v:textbox style="mso-fit-shape-to-text:t" inset="0,0,0,0">
            <w:txbxContent>
              <w:p w:rsidR="00000000" w:rsidRDefault="005142AB">
                <w:pPr>
                  <w:pStyle w:val="a5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5142AB">
      <w:r>
        <w:separator/>
      </w:r>
    </w:p>
  </w:footnote>
  <w:footnote w:type="continuationSeparator" w:id="0">
    <w:p w:rsidR="00000000" w:rsidRDefault="005142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3077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E9D"/>
    <w:rsid w:val="005142AB"/>
    <w:rsid w:val="0BE9F167"/>
    <w:rsid w:val="0EEF2294"/>
    <w:rsid w:val="0FDF7785"/>
    <w:rsid w:val="166300B6"/>
    <w:rsid w:val="17FCFB73"/>
    <w:rsid w:val="1B5BBCD1"/>
    <w:rsid w:val="1F71458D"/>
    <w:rsid w:val="1FFD00DF"/>
    <w:rsid w:val="27F611D0"/>
    <w:rsid w:val="27FDAEC0"/>
    <w:rsid w:val="2B1B7853"/>
    <w:rsid w:val="2BD7FECB"/>
    <w:rsid w:val="2E7FB98E"/>
    <w:rsid w:val="2F7F8ED4"/>
    <w:rsid w:val="2FE77813"/>
    <w:rsid w:val="2FEE00B9"/>
    <w:rsid w:val="31F79808"/>
    <w:rsid w:val="31F7F1DD"/>
    <w:rsid w:val="36EEB28A"/>
    <w:rsid w:val="36FE7DBB"/>
    <w:rsid w:val="376CB43F"/>
    <w:rsid w:val="37BFCB81"/>
    <w:rsid w:val="37F31925"/>
    <w:rsid w:val="39FBFF58"/>
    <w:rsid w:val="3D9EE584"/>
    <w:rsid w:val="3EAC7251"/>
    <w:rsid w:val="3EFD1014"/>
    <w:rsid w:val="3F8D6CBD"/>
    <w:rsid w:val="3FABFF36"/>
    <w:rsid w:val="3FB636F4"/>
    <w:rsid w:val="3FBAE974"/>
    <w:rsid w:val="3FBFC36E"/>
    <w:rsid w:val="3FE3E1AB"/>
    <w:rsid w:val="3FE585A0"/>
    <w:rsid w:val="3FF9EB42"/>
    <w:rsid w:val="45FEBAE1"/>
    <w:rsid w:val="468E54F5"/>
    <w:rsid w:val="4D7F3AD7"/>
    <w:rsid w:val="4EBD1AB3"/>
    <w:rsid w:val="4EE66EA1"/>
    <w:rsid w:val="4F2F4295"/>
    <w:rsid w:val="529E55AA"/>
    <w:rsid w:val="53CF853E"/>
    <w:rsid w:val="53F890AD"/>
    <w:rsid w:val="54BEC3A0"/>
    <w:rsid w:val="55B07585"/>
    <w:rsid w:val="59FA3F4E"/>
    <w:rsid w:val="5B7F8647"/>
    <w:rsid w:val="5CDF5F9E"/>
    <w:rsid w:val="5D2F5A75"/>
    <w:rsid w:val="5DB7BE2D"/>
    <w:rsid w:val="5DEFEEBD"/>
    <w:rsid w:val="5E3F1B41"/>
    <w:rsid w:val="5EBAF72E"/>
    <w:rsid w:val="5EF78107"/>
    <w:rsid w:val="5F2DDA64"/>
    <w:rsid w:val="5F709668"/>
    <w:rsid w:val="5FB72B5D"/>
    <w:rsid w:val="5FC949A5"/>
    <w:rsid w:val="5FFB8C18"/>
    <w:rsid w:val="5FFBEAB0"/>
    <w:rsid w:val="5FFC7389"/>
    <w:rsid w:val="5FFD5DA6"/>
    <w:rsid w:val="5FFD886E"/>
    <w:rsid w:val="676379B1"/>
    <w:rsid w:val="67F6FDB1"/>
    <w:rsid w:val="6B75A812"/>
    <w:rsid w:val="6BE51C52"/>
    <w:rsid w:val="6D076F56"/>
    <w:rsid w:val="6E575F4B"/>
    <w:rsid w:val="6EF9542F"/>
    <w:rsid w:val="6FE335E0"/>
    <w:rsid w:val="6FFB0525"/>
    <w:rsid w:val="6FFB6659"/>
    <w:rsid w:val="72EFF8C5"/>
    <w:rsid w:val="72FFE018"/>
    <w:rsid w:val="7356FC08"/>
    <w:rsid w:val="73CE0889"/>
    <w:rsid w:val="754E70B7"/>
    <w:rsid w:val="75EDC75F"/>
    <w:rsid w:val="76ECFDE1"/>
    <w:rsid w:val="76FFE0E8"/>
    <w:rsid w:val="773BF972"/>
    <w:rsid w:val="777A92A1"/>
    <w:rsid w:val="77F66BDE"/>
    <w:rsid w:val="787EE382"/>
    <w:rsid w:val="78FFFF9E"/>
    <w:rsid w:val="7A8DFF68"/>
    <w:rsid w:val="7AF6A9AD"/>
    <w:rsid w:val="7B9F0CCE"/>
    <w:rsid w:val="7BAF07E8"/>
    <w:rsid w:val="7BC9D134"/>
    <w:rsid w:val="7BF7067E"/>
    <w:rsid w:val="7BFEB8E8"/>
    <w:rsid w:val="7C559189"/>
    <w:rsid w:val="7C9FB8F5"/>
    <w:rsid w:val="7CA780B7"/>
    <w:rsid w:val="7D764E7B"/>
    <w:rsid w:val="7D79D6DF"/>
    <w:rsid w:val="7D7D4CD3"/>
    <w:rsid w:val="7D7E54C1"/>
    <w:rsid w:val="7DB79F47"/>
    <w:rsid w:val="7DECA524"/>
    <w:rsid w:val="7DEE5EDB"/>
    <w:rsid w:val="7E39B456"/>
    <w:rsid w:val="7E7FC146"/>
    <w:rsid w:val="7ED9E2D8"/>
    <w:rsid w:val="7EEE9060"/>
    <w:rsid w:val="7EFFACFC"/>
    <w:rsid w:val="7EFFFE83"/>
    <w:rsid w:val="7F3FA5E1"/>
    <w:rsid w:val="7F7B279E"/>
    <w:rsid w:val="7FAE1091"/>
    <w:rsid w:val="7FB5EAF0"/>
    <w:rsid w:val="7FB64C72"/>
    <w:rsid w:val="7FBF7DC9"/>
    <w:rsid w:val="7FC47B4D"/>
    <w:rsid w:val="7FD9EA46"/>
    <w:rsid w:val="7FDF19E2"/>
    <w:rsid w:val="7FEAE603"/>
    <w:rsid w:val="7FF3EA67"/>
    <w:rsid w:val="7FF508A5"/>
    <w:rsid w:val="7FF9F415"/>
    <w:rsid w:val="7FFB7C63"/>
    <w:rsid w:val="893FFE6F"/>
    <w:rsid w:val="96059977"/>
    <w:rsid w:val="96BE386F"/>
    <w:rsid w:val="9C7EB114"/>
    <w:rsid w:val="9F7560B2"/>
    <w:rsid w:val="9FB6B379"/>
    <w:rsid w:val="9FDF5E6F"/>
    <w:rsid w:val="A6F7E1AC"/>
    <w:rsid w:val="AF53A8F0"/>
    <w:rsid w:val="BB6B9790"/>
    <w:rsid w:val="BCEB6F91"/>
    <w:rsid w:val="BDBFDA1E"/>
    <w:rsid w:val="BDF71436"/>
    <w:rsid w:val="BEDF151F"/>
    <w:rsid w:val="BFCF8A6F"/>
    <w:rsid w:val="BFDD8F24"/>
    <w:rsid w:val="BFE32030"/>
    <w:rsid w:val="BFFBC007"/>
    <w:rsid w:val="CBED0ECD"/>
    <w:rsid w:val="CF975F63"/>
    <w:rsid w:val="D5ED7054"/>
    <w:rsid w:val="D5F5FD42"/>
    <w:rsid w:val="D775E789"/>
    <w:rsid w:val="D7D7D668"/>
    <w:rsid w:val="D7EBABC5"/>
    <w:rsid w:val="D7FD258E"/>
    <w:rsid w:val="DAF74134"/>
    <w:rsid w:val="DD3F05C6"/>
    <w:rsid w:val="DDD1974D"/>
    <w:rsid w:val="DE7CBB73"/>
    <w:rsid w:val="DF2E8F80"/>
    <w:rsid w:val="DF7B414D"/>
    <w:rsid w:val="DF83D808"/>
    <w:rsid w:val="DF8B7E3F"/>
    <w:rsid w:val="DF934AE7"/>
    <w:rsid w:val="DF9FF547"/>
    <w:rsid w:val="DFFB5CA0"/>
    <w:rsid w:val="E37EC255"/>
    <w:rsid w:val="E3BF568A"/>
    <w:rsid w:val="E77FA224"/>
    <w:rsid w:val="E94F1B78"/>
    <w:rsid w:val="EAF732B4"/>
    <w:rsid w:val="EC0E4733"/>
    <w:rsid w:val="EE2A8A1E"/>
    <w:rsid w:val="EE377E83"/>
    <w:rsid w:val="EE7D93FE"/>
    <w:rsid w:val="EF3F3F5D"/>
    <w:rsid w:val="EF6B4E5C"/>
    <w:rsid w:val="EF777CD4"/>
    <w:rsid w:val="EF7E3AE4"/>
    <w:rsid w:val="EF85641D"/>
    <w:rsid w:val="EFD78B4D"/>
    <w:rsid w:val="EFDE4275"/>
    <w:rsid w:val="EFF348C1"/>
    <w:rsid w:val="EFFC0934"/>
    <w:rsid w:val="EFFF1543"/>
    <w:rsid w:val="F3BE5A5E"/>
    <w:rsid w:val="F4F7F232"/>
    <w:rsid w:val="F58FFDE9"/>
    <w:rsid w:val="F5BCC7E4"/>
    <w:rsid w:val="F5DB61B0"/>
    <w:rsid w:val="F5FDCE92"/>
    <w:rsid w:val="F77D8C5A"/>
    <w:rsid w:val="F7BE4460"/>
    <w:rsid w:val="F7F9AC31"/>
    <w:rsid w:val="F7FC5794"/>
    <w:rsid w:val="F7FDFCA8"/>
    <w:rsid w:val="F9FB1414"/>
    <w:rsid w:val="FBCF33FD"/>
    <w:rsid w:val="FBFDA06D"/>
    <w:rsid w:val="FBFF6292"/>
    <w:rsid w:val="FC7717CB"/>
    <w:rsid w:val="FD3C471D"/>
    <w:rsid w:val="FDEFE2D1"/>
    <w:rsid w:val="FDFDDF00"/>
    <w:rsid w:val="FDFFC123"/>
    <w:rsid w:val="FE5249EC"/>
    <w:rsid w:val="FE8FC0DC"/>
    <w:rsid w:val="FECFD753"/>
    <w:rsid w:val="FEF93298"/>
    <w:rsid w:val="FF5B3DDC"/>
    <w:rsid w:val="FF5E69B5"/>
    <w:rsid w:val="FF7CA2F2"/>
    <w:rsid w:val="FF8C9780"/>
    <w:rsid w:val="FFB9EBDB"/>
    <w:rsid w:val="FFC92B3F"/>
    <w:rsid w:val="FFEF17A6"/>
    <w:rsid w:val="FFF4CBCF"/>
    <w:rsid w:val="FFF65F99"/>
    <w:rsid w:val="FFF89181"/>
    <w:rsid w:val="FFFAE7D9"/>
    <w:rsid w:val="FFFF5D98"/>
    <w:rsid w:val="FFFF8A74"/>
    <w:rsid w:val="FFFFB128"/>
    <w:rsid w:val="FFFFE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7" fillcolor="white">
      <v:fill color="white"/>
    </o:shapedefaults>
    <o:shapelayout v:ext="edit">
      <o:idmap v:ext="edit" data="1"/>
    </o:shapelayout>
  </w:shapeDefaults>
  <w:doNotEmbedSmartTags/>
  <w:decimalSymbol w:val="."/>
  <w:listSeparator w:val=","/>
  <w15:chartTrackingRefBased/>
  <w15:docId w15:val="{8B141C70-5AAD-41B1-86F1-BBC28CC13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rFonts w:ascii="Calibri" w:hAnsi="Calibri" w:cs="Arial"/>
      <w:bCs/>
      <w:kern w:val="2"/>
      <w:sz w:val="21"/>
      <w:szCs w:val="22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a1">
    <w:name w:val="Default Paragraph Font"/>
  </w:style>
  <w:style w:type="table" w:default="1" w:styleId="a2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0">
    <w:name w:val="首行缩进正文"/>
    <w:basedOn w:val="a"/>
    <w:qFormat/>
    <w:pPr>
      <w:snapToGrid w:val="0"/>
      <w:spacing w:line="360" w:lineRule="auto"/>
      <w:ind w:firstLineChars="200" w:firstLine="200"/>
    </w:pPr>
  </w:style>
  <w:style w:type="paragraph" w:styleId="5">
    <w:name w:val="index 5"/>
    <w:basedOn w:val="a"/>
    <w:next w:val="a"/>
    <w:pPr>
      <w:ind w:left="1680"/>
    </w:pPr>
  </w:style>
  <w:style w:type="paragraph" w:styleId="a4">
    <w:name w:val="Body Text"/>
    <w:basedOn w:val="a"/>
    <w:rPr>
      <w:rFonts w:eastAsia="黑体"/>
      <w:sz w:val="44"/>
      <w:szCs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pPr>
      <w:spacing w:before="100" w:beforeAutospacing="1" w:after="100" w:afterAutospacing="1"/>
      <w:jc w:val="left"/>
    </w:pPr>
    <w:rPr>
      <w:rFonts w:ascii="Courier New" w:hAnsi="Courier New" w:cs="Times New Roman"/>
      <w:sz w:val="20"/>
      <w:szCs w:val="21"/>
    </w:rPr>
  </w:style>
  <w:style w:type="paragraph" w:styleId="a7">
    <w:name w:val="Normal (Web)"/>
    <w:basedOn w:val="a"/>
    <w:pPr>
      <w:spacing w:before="100" w:beforeAutospacing="1" w:after="100" w:afterAutospacing="1"/>
    </w:pPr>
    <w:rPr>
      <w:rFonts w:ascii="宋体" w:cs="Times New Roman"/>
      <w:sz w:val="24"/>
      <w:szCs w:val="21"/>
    </w:rPr>
  </w:style>
  <w:style w:type="character" w:styleId="a8">
    <w:name w:val="Strong"/>
    <w:basedOn w:val="a1"/>
    <w:qFormat/>
    <w:rPr>
      <w:b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color w:val="000000"/>
      <w:sz w:val="24"/>
      <w:szCs w:val="22"/>
    </w:rPr>
  </w:style>
  <w:style w:type="paragraph" w:styleId="a9">
    <w:name w:val="No Spacing"/>
    <w:qFormat/>
    <w:pPr>
      <w:widowControl w:val="0"/>
      <w:jc w:val="both"/>
    </w:pPr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154</Words>
  <Characters>883</Characters>
  <Application>Microsoft Office Word</Application>
  <DocSecurity>0</DocSecurity>
  <Lines>7</Lines>
  <Paragraphs>2</Paragraphs>
  <ScaleCrop>false</ScaleCrop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inspur</dc:creator>
  <cp:keywords/>
  <cp:lastModifiedBy>亦哲君</cp:lastModifiedBy>
  <cp:revision>2</cp:revision>
  <cp:lastPrinted>2022-04-25T07:26:00Z</cp:lastPrinted>
  <dcterms:created xsi:type="dcterms:W3CDTF">2025-03-30T12:50:00Z</dcterms:created>
  <dcterms:modified xsi:type="dcterms:W3CDTF">2025-03-30T12:50:00Z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2052-11.8.2.10422</vt:lpwstr>
  </property>
</Properties>
</file>