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2353" w:rsidRDefault="001C2353" w:rsidP="001C2353">
      <w:pPr>
        <w:rPr>
          <w:rFonts w:hint="eastAsia"/>
        </w:rPr>
      </w:pPr>
      <w:bookmarkStart w:id="0" w:name="_GoBack"/>
      <w:bookmarkEnd w:id="0"/>
      <w:r>
        <w:rPr>
          <w:rFonts w:hint="eastAsia"/>
        </w:rPr>
        <w:t>主报告</w:t>
      </w:r>
    </w:p>
    <w:p w:rsidR="001C2353" w:rsidRPr="001C2353" w:rsidRDefault="001C2353" w:rsidP="001C2353">
      <w:pPr>
        <w:jc w:val="center"/>
        <w:rPr>
          <w:rFonts w:hint="eastAsia"/>
          <w:sz w:val="28"/>
          <w:szCs w:val="28"/>
        </w:rPr>
      </w:pPr>
      <w:r w:rsidRPr="001C2353">
        <w:rPr>
          <w:rFonts w:hint="eastAsia"/>
          <w:sz w:val="28"/>
          <w:szCs w:val="28"/>
        </w:rPr>
        <w:t>中国养老基金地区失衡与财务可持续性</w:t>
      </w:r>
    </w:p>
    <w:p w:rsidR="001C2353" w:rsidRDefault="001C2353" w:rsidP="001C2353">
      <w:pPr>
        <w:jc w:val="right"/>
        <w:rPr>
          <w:rFonts w:hint="eastAsia"/>
        </w:rPr>
      </w:pPr>
      <w:r>
        <w:rPr>
          <w:rFonts w:hint="eastAsia"/>
        </w:rPr>
        <w:t xml:space="preserve">   </w:t>
      </w:r>
      <w:r>
        <w:rPr>
          <w:rFonts w:hint="eastAsia"/>
        </w:rPr>
        <w:t>——养老金发展指数的含义、数据分析与制度根源</w:t>
      </w:r>
    </w:p>
    <w:p w:rsidR="001C2353" w:rsidRDefault="001C2353" w:rsidP="001C2353"/>
    <w:p w:rsidR="001C2353" w:rsidRDefault="001C2353" w:rsidP="001C2353">
      <w:pPr>
        <w:rPr>
          <w:rFonts w:hint="eastAsia"/>
        </w:rPr>
      </w:pPr>
      <w:r>
        <w:rPr>
          <w:rFonts w:hint="eastAsia"/>
        </w:rPr>
        <w:t xml:space="preserve">    </w:t>
      </w:r>
      <w:r>
        <w:rPr>
          <w:rFonts w:hint="eastAsia"/>
        </w:rPr>
        <w:t>党的“十八大”刚刚落下帷幕。“十八大”报告在第七部分“在改善民生和创新社会管理中加强社会建设”指出，“要坚持全覆盖、保基本、多层次、可持续方针，以增强公平性、适应流动性、保证可持续性为重点”。“十八大”报告强调要坚持社会保障制度建设的“十二字”方针，这为未来社会保障制度建设进一步指明了方向，同时，“十八大”报告将增强公平性、适应流动性和保证可持续性作为未来的改革重点。其中，“保证可持续性”在相当长的历史时期内将是中国社会保障制度建设的重中之重。在</w:t>
      </w:r>
      <w:r>
        <w:rPr>
          <w:rFonts w:hint="eastAsia"/>
        </w:rPr>
        <w:t>2011</w:t>
      </w:r>
      <w:r>
        <w:rPr>
          <w:rFonts w:hint="eastAsia"/>
        </w:rPr>
        <w:t>年</w:t>
      </w:r>
      <w:r>
        <w:rPr>
          <w:rFonts w:hint="eastAsia"/>
        </w:rPr>
        <w:t>12</w:t>
      </w:r>
      <w:r>
        <w:rPr>
          <w:rFonts w:hint="eastAsia"/>
        </w:rPr>
        <w:t>月</w:t>
      </w:r>
      <w:r>
        <w:rPr>
          <w:rFonts w:hint="eastAsia"/>
        </w:rPr>
        <w:t>20</w:t>
      </w:r>
      <w:r>
        <w:rPr>
          <w:rFonts w:hint="eastAsia"/>
        </w:rPr>
        <w:t>日举办的《中国养老金发展报告</w:t>
      </w:r>
      <w:r>
        <w:rPr>
          <w:rFonts w:hint="eastAsia"/>
        </w:rPr>
        <w:t>2011</w:t>
      </w:r>
      <w:r>
        <w:rPr>
          <w:rFonts w:hint="eastAsia"/>
        </w:rPr>
        <w:t>》发布式上，华建敏副委员长在讲话中提出可持续性是中国养老金制度的第一命题</w:t>
      </w:r>
      <w:r w:rsidRPr="001C2353">
        <w:rPr>
          <w:rFonts w:hint="eastAsia"/>
          <w:vertAlign w:val="superscript"/>
        </w:rPr>
        <w:t>①</w:t>
      </w:r>
      <w:r>
        <w:rPr>
          <w:rFonts w:hint="eastAsia"/>
        </w:rPr>
        <w:t>。为落实“十八大”报告精神，《中国养老金发展报告</w:t>
      </w:r>
      <w:r>
        <w:rPr>
          <w:rFonts w:hint="eastAsia"/>
        </w:rPr>
        <w:t>2012</w:t>
      </w:r>
      <w:r>
        <w:rPr>
          <w:rFonts w:hint="eastAsia"/>
        </w:rPr>
        <w:t>》的“养老金改革篇”的主题确定为中国养老基金地区失衡问题，将十几个省份当期收不抵支的问题作为专题研究。</w:t>
      </w:r>
    </w:p>
    <w:p w:rsidR="001C2353" w:rsidRDefault="001C2353" w:rsidP="001C2353">
      <w:pPr>
        <w:rPr>
          <w:rFonts w:hint="eastAsia"/>
        </w:rPr>
      </w:pPr>
      <w:r>
        <w:rPr>
          <w:rFonts w:hint="eastAsia"/>
        </w:rPr>
        <w:t xml:space="preserve">    </w:t>
      </w:r>
      <w:r>
        <w:rPr>
          <w:rFonts w:hint="eastAsia"/>
        </w:rPr>
        <w:t>毋庸置疑，</w:t>
      </w:r>
      <w:r>
        <w:rPr>
          <w:rFonts w:hint="eastAsia"/>
        </w:rPr>
        <w:t>2011</w:t>
      </w:r>
      <w:r>
        <w:rPr>
          <w:rFonts w:hint="eastAsia"/>
        </w:rPr>
        <w:t>年是中国社会保障蓬勃发展的一年，城镇职工基本养老保险制度状况进一步得到改善，新农保覆盖面进一步扩大，基本养老保险基金规模进一步提高。</w:t>
      </w:r>
      <w:r>
        <w:rPr>
          <w:rFonts w:hint="eastAsia"/>
        </w:rPr>
        <w:t>2011</w:t>
      </w:r>
      <w:r>
        <w:rPr>
          <w:rFonts w:hint="eastAsia"/>
        </w:rPr>
        <w:t>年，为全面摸清社会保障资金的底数，国家审计署组织实施了全国社会保障资金审计，审计覆盖范围之广、涉及社会保障资金种类之多，为社会保障审计历史上的首次。</w:t>
      </w:r>
    </w:p>
    <w:p w:rsidR="001C2353" w:rsidRDefault="001C2353" w:rsidP="001C2353">
      <w:pPr>
        <w:rPr>
          <w:rFonts w:hint="eastAsia"/>
        </w:rPr>
      </w:pPr>
      <w:r>
        <w:rPr>
          <w:rFonts w:hint="eastAsia"/>
        </w:rPr>
        <w:t xml:space="preserve">    </w:t>
      </w:r>
      <w:r>
        <w:rPr>
          <w:rFonts w:hint="eastAsia"/>
        </w:rPr>
        <w:t>截至</w:t>
      </w:r>
      <w:r>
        <w:rPr>
          <w:rFonts w:hint="eastAsia"/>
        </w:rPr>
        <w:t>2011</w:t>
      </w:r>
      <w:r>
        <w:rPr>
          <w:rFonts w:hint="eastAsia"/>
        </w:rPr>
        <w:t>年底，企业职工基本养老保险已覆盖全国所有县，新型农村社会养老保险（以下简称“新农保”）已覆盖</w:t>
      </w:r>
      <w:r>
        <w:rPr>
          <w:rFonts w:hint="eastAsia"/>
        </w:rPr>
        <w:t>81.50%</w:t>
      </w:r>
      <w:r>
        <w:rPr>
          <w:rFonts w:hint="eastAsia"/>
        </w:rPr>
        <w:t>的县</w:t>
      </w:r>
      <w:r>
        <w:rPr>
          <w:rFonts w:hint="eastAsia"/>
        </w:rPr>
        <w:t>(2273</w:t>
      </w:r>
      <w:r>
        <w:rPr>
          <w:rFonts w:hint="eastAsia"/>
        </w:rPr>
        <w:t>个县</w:t>
      </w:r>
      <w:r>
        <w:rPr>
          <w:rFonts w:hint="eastAsia"/>
        </w:rPr>
        <w:t>)</w:t>
      </w:r>
      <w:r>
        <w:rPr>
          <w:rFonts w:hint="eastAsia"/>
        </w:rPr>
        <w:t>，城镇居民社会养老保险（以下简称“城居保”）覆盖</w:t>
      </w:r>
      <w:r>
        <w:rPr>
          <w:rFonts w:hint="eastAsia"/>
        </w:rPr>
        <w:t>75.30%</w:t>
      </w:r>
      <w:r>
        <w:rPr>
          <w:rFonts w:hint="eastAsia"/>
        </w:rPr>
        <w:t>的县（</w:t>
      </w:r>
      <w:r>
        <w:rPr>
          <w:rFonts w:hint="eastAsia"/>
        </w:rPr>
        <w:t>2101</w:t>
      </w:r>
      <w:r>
        <w:rPr>
          <w:rFonts w:hint="eastAsia"/>
        </w:rPr>
        <w:t>个县），其中</w:t>
      </w:r>
      <w:r>
        <w:rPr>
          <w:rFonts w:hint="eastAsia"/>
        </w:rPr>
        <w:t>683</w:t>
      </w:r>
      <w:r>
        <w:rPr>
          <w:rFonts w:hint="eastAsia"/>
        </w:rPr>
        <w:t>个县合并实施了城乡居民社会养老保险</w:t>
      </w:r>
      <w:r>
        <w:rPr>
          <w:rFonts w:hint="eastAsia"/>
        </w:rPr>
        <w:t>(3.61</w:t>
      </w:r>
      <w:r>
        <w:rPr>
          <w:rFonts w:hint="eastAsia"/>
        </w:rPr>
        <w:t>亿人</w:t>
      </w:r>
      <w:r>
        <w:rPr>
          <w:rFonts w:hint="eastAsia"/>
        </w:rPr>
        <w:t>)</w:t>
      </w:r>
      <w:r>
        <w:rPr>
          <w:rFonts w:hint="eastAsia"/>
        </w:rPr>
        <w:t>，全国养老保险参保人数合计</w:t>
      </w:r>
      <w:r>
        <w:rPr>
          <w:rFonts w:hint="eastAsia"/>
        </w:rPr>
        <w:t>6.22</w:t>
      </w:r>
      <w:r>
        <w:rPr>
          <w:rFonts w:hint="eastAsia"/>
        </w:rPr>
        <w:t>亿人，比</w:t>
      </w:r>
      <w:r>
        <w:rPr>
          <w:rFonts w:hint="eastAsia"/>
        </w:rPr>
        <w:t>2005</w:t>
      </w:r>
      <w:r>
        <w:rPr>
          <w:rFonts w:hint="eastAsia"/>
        </w:rPr>
        <w:t>年增长</w:t>
      </w:r>
      <w:r>
        <w:rPr>
          <w:rFonts w:hint="eastAsia"/>
        </w:rPr>
        <w:t>2.86</w:t>
      </w:r>
      <w:r>
        <w:rPr>
          <w:rFonts w:hint="eastAsia"/>
        </w:rPr>
        <w:t>倍</w:t>
      </w:r>
      <w:r w:rsidRPr="001C2353">
        <w:rPr>
          <w:rFonts w:hint="eastAsia"/>
          <w:vertAlign w:val="superscript"/>
        </w:rPr>
        <w:t>②</w:t>
      </w:r>
      <w:r>
        <w:rPr>
          <w:rFonts w:hint="eastAsia"/>
        </w:rPr>
        <w:t>。</w:t>
      </w:r>
    </w:p>
    <w:p w:rsidR="001C2353" w:rsidRDefault="001C2353" w:rsidP="001C2353">
      <w:pPr>
        <w:rPr>
          <w:rFonts w:hint="eastAsia"/>
        </w:rPr>
      </w:pPr>
      <w:r>
        <w:rPr>
          <w:rFonts w:hint="eastAsia"/>
        </w:rPr>
        <w:t xml:space="preserve">  </w:t>
      </w:r>
      <w:r>
        <w:rPr>
          <w:rFonts w:hint="eastAsia"/>
        </w:rPr>
        <w:t>一、城镇职工基本养老保险各项指标再创新高，但风险犹存</w:t>
      </w:r>
    </w:p>
    <w:p w:rsidR="001C2353" w:rsidRDefault="001C2353" w:rsidP="001C2353">
      <w:pPr>
        <w:rPr>
          <w:rFonts w:hint="eastAsia"/>
        </w:rPr>
      </w:pPr>
      <w:r>
        <w:rPr>
          <w:rFonts w:hint="eastAsia"/>
        </w:rPr>
        <w:t xml:space="preserve">    </w:t>
      </w:r>
      <w:r>
        <w:rPr>
          <w:rFonts w:hint="eastAsia"/>
        </w:rPr>
        <w:t>截至</w:t>
      </w:r>
      <w:r>
        <w:rPr>
          <w:rFonts w:hint="eastAsia"/>
        </w:rPr>
        <w:t>2011</w:t>
      </w:r>
      <w:r>
        <w:rPr>
          <w:rFonts w:hint="eastAsia"/>
        </w:rPr>
        <w:t>年底，城镇职工基本养老保险制度各项指标均再创历史新高：</w:t>
      </w:r>
    </w:p>
    <w:p w:rsidR="001C2353" w:rsidRDefault="001C2353" w:rsidP="001C2353">
      <w:pPr>
        <w:rPr>
          <w:rFonts w:hint="eastAsia"/>
        </w:rPr>
      </w:pPr>
      <w:r>
        <w:rPr>
          <w:rFonts w:hint="eastAsia"/>
        </w:rPr>
        <w:t xml:space="preserve">    </w:t>
      </w:r>
      <w:r>
        <w:rPr>
          <w:rFonts w:hint="eastAsia"/>
        </w:rPr>
        <w:t>——覆盖城镇各类企业职工、个体工商户以及其他灵活就业人员的企业职工基本养老保险制度参保人数达</w:t>
      </w:r>
      <w:r>
        <w:rPr>
          <w:rFonts w:hint="eastAsia"/>
        </w:rPr>
        <w:t>28391</w:t>
      </w:r>
      <w:r>
        <w:rPr>
          <w:rFonts w:hint="eastAsia"/>
        </w:rPr>
        <w:t>万人</w:t>
      </w:r>
      <w:r w:rsidRPr="001C2353">
        <w:rPr>
          <w:rFonts w:hint="eastAsia"/>
          <w:vertAlign w:val="superscript"/>
        </w:rPr>
        <w:t>③</w:t>
      </w:r>
      <w:r>
        <w:rPr>
          <w:rFonts w:hint="eastAsia"/>
        </w:rPr>
        <w:t>，领取养老金</w:t>
      </w:r>
      <w:r>
        <w:rPr>
          <w:rFonts w:hint="eastAsia"/>
        </w:rPr>
        <w:t>6826</w:t>
      </w:r>
      <w:r>
        <w:rPr>
          <w:rFonts w:hint="eastAsia"/>
        </w:rPr>
        <w:t>万人，分别比</w:t>
      </w:r>
      <w:r>
        <w:rPr>
          <w:rFonts w:hint="eastAsia"/>
        </w:rPr>
        <w:t>2010</w:t>
      </w:r>
      <w:r>
        <w:rPr>
          <w:rFonts w:hint="eastAsia"/>
        </w:rPr>
        <w:t>年末增加</w:t>
      </w:r>
      <w:r>
        <w:rPr>
          <w:rFonts w:hint="eastAsia"/>
        </w:rPr>
        <w:t>2163</w:t>
      </w:r>
      <w:r>
        <w:rPr>
          <w:rFonts w:hint="eastAsia"/>
        </w:rPr>
        <w:t>万人和</w:t>
      </w:r>
      <w:r>
        <w:rPr>
          <w:rFonts w:hint="eastAsia"/>
        </w:rPr>
        <w:t>521</w:t>
      </w:r>
      <w:r>
        <w:rPr>
          <w:rFonts w:hint="eastAsia"/>
        </w:rPr>
        <w:t>万人；参加基本养老保险的农民工人数为</w:t>
      </w:r>
      <w:r>
        <w:rPr>
          <w:rFonts w:hint="eastAsia"/>
        </w:rPr>
        <w:t>4140</w:t>
      </w:r>
      <w:r>
        <w:rPr>
          <w:rFonts w:hint="eastAsia"/>
        </w:rPr>
        <w:t>万人，比</w:t>
      </w:r>
      <w:r>
        <w:rPr>
          <w:rFonts w:hint="eastAsia"/>
        </w:rPr>
        <w:t>2010</w:t>
      </w:r>
      <w:r>
        <w:rPr>
          <w:rFonts w:hint="eastAsia"/>
        </w:rPr>
        <w:t>年末增加</w:t>
      </w:r>
      <w:r>
        <w:rPr>
          <w:rFonts w:hint="eastAsia"/>
        </w:rPr>
        <w:t>856</w:t>
      </w:r>
      <w:r>
        <w:rPr>
          <w:rFonts w:hint="eastAsia"/>
        </w:rPr>
        <w:t>万人。年末参加企业基本养老保险人数为</w:t>
      </w:r>
      <w:r>
        <w:rPr>
          <w:rFonts w:hint="eastAsia"/>
        </w:rPr>
        <w:t>26284</w:t>
      </w:r>
      <w:r>
        <w:rPr>
          <w:rFonts w:hint="eastAsia"/>
        </w:rPr>
        <w:t>万人，比</w:t>
      </w:r>
      <w:r>
        <w:rPr>
          <w:rFonts w:hint="eastAsia"/>
        </w:rPr>
        <w:t>2010</w:t>
      </w:r>
      <w:r>
        <w:rPr>
          <w:rFonts w:hint="eastAsia"/>
        </w:rPr>
        <w:t>年末增加</w:t>
      </w:r>
      <w:r>
        <w:rPr>
          <w:rFonts w:hint="eastAsia"/>
        </w:rPr>
        <w:t>2650</w:t>
      </w:r>
      <w:r>
        <w:rPr>
          <w:rFonts w:hint="eastAsia"/>
        </w:rPr>
        <w:t>万人。</w:t>
      </w:r>
    </w:p>
    <w:p w:rsidR="001C2353" w:rsidRDefault="001C2353" w:rsidP="001C2353">
      <w:pPr>
        <w:ind w:firstLine="435"/>
        <w:rPr>
          <w:rFonts w:hint="eastAsia"/>
        </w:rPr>
      </w:pPr>
      <w:r>
        <w:rPr>
          <w:rFonts w:hint="eastAsia"/>
        </w:rPr>
        <w:t>——城镇基本养老保险基金总收入</w:t>
      </w:r>
      <w:r>
        <w:rPr>
          <w:rFonts w:hint="eastAsia"/>
        </w:rPr>
        <w:t>16895</w:t>
      </w:r>
      <w:r>
        <w:rPr>
          <w:rFonts w:hint="eastAsia"/>
        </w:rPr>
        <w:t>亿元，其中征缴收入</w:t>
      </w:r>
      <w:r>
        <w:rPr>
          <w:rFonts w:hint="eastAsia"/>
        </w:rPr>
        <w:t>13956</w:t>
      </w:r>
      <w:r>
        <w:rPr>
          <w:rFonts w:hint="eastAsia"/>
        </w:rPr>
        <w:t>亿元；各级财政补贴</w:t>
      </w:r>
      <w:r>
        <w:rPr>
          <w:rFonts w:hint="eastAsia"/>
        </w:rPr>
        <w:t>2272</w:t>
      </w:r>
      <w:r>
        <w:rPr>
          <w:rFonts w:hint="eastAsia"/>
        </w:rPr>
        <w:t>亿元；基金总支出</w:t>
      </w:r>
      <w:r>
        <w:rPr>
          <w:rFonts w:hint="eastAsia"/>
        </w:rPr>
        <w:t>12765</w:t>
      </w:r>
      <w:r>
        <w:rPr>
          <w:rFonts w:hint="eastAsia"/>
        </w:rPr>
        <w:t>亿元；年末基本养老保险基金累计结存</w:t>
      </w:r>
      <w:r>
        <w:rPr>
          <w:rFonts w:hint="eastAsia"/>
        </w:rPr>
        <w:t>19497</w:t>
      </w:r>
      <w:r>
        <w:rPr>
          <w:rFonts w:hint="eastAsia"/>
        </w:rPr>
        <w:t>亿元，比</w:t>
      </w:r>
      <w:r>
        <w:rPr>
          <w:rFonts w:hint="eastAsia"/>
        </w:rPr>
        <w:t>2010</w:t>
      </w:r>
      <w:r>
        <w:rPr>
          <w:rFonts w:hint="eastAsia"/>
        </w:rPr>
        <w:t>年底增长了</w:t>
      </w:r>
      <w:r>
        <w:rPr>
          <w:rFonts w:hint="eastAsia"/>
        </w:rPr>
        <w:t>26.89%</w:t>
      </w:r>
      <w:r>
        <w:rPr>
          <w:rFonts w:hint="eastAsia"/>
        </w:rPr>
        <w:t>。</w:t>
      </w:r>
    </w:p>
    <w:p w:rsidR="001C2353" w:rsidRDefault="001C2353" w:rsidP="001C2353">
      <w:pPr>
        <w:rPr>
          <w:rFonts w:hint="eastAsia"/>
        </w:rPr>
      </w:pPr>
      <w:r>
        <w:rPr>
          <w:rFonts w:hint="eastAsia"/>
        </w:rPr>
        <w:t xml:space="preserve">    2011</w:t>
      </w:r>
      <w:r>
        <w:rPr>
          <w:rFonts w:hint="eastAsia"/>
        </w:rPr>
        <w:t>年城镇职工基本养老保险制度呈现如下特点：</w:t>
      </w:r>
    </w:p>
    <w:p w:rsidR="001C2353" w:rsidRDefault="001C2353" w:rsidP="001C2353">
      <w:pPr>
        <w:rPr>
          <w:rFonts w:hint="eastAsia"/>
        </w:rPr>
      </w:pPr>
      <w:r>
        <w:rPr>
          <w:rFonts w:hint="eastAsia"/>
        </w:rPr>
        <w:t xml:space="preserve">    1</w:t>
      </w:r>
      <w:r>
        <w:rPr>
          <w:rFonts w:hint="eastAsia"/>
        </w:rPr>
        <w:t>．企业参保状况发生结构性变化，非国有企业参保人数总体规模超过国有企业</w:t>
      </w:r>
    </w:p>
    <w:p w:rsidR="00A64A31" w:rsidRDefault="001C2353" w:rsidP="00A64A31">
      <w:pPr>
        <w:ind w:firstLine="435"/>
        <w:rPr>
          <w:rFonts w:hint="eastAsia"/>
        </w:rPr>
      </w:pPr>
      <w:r>
        <w:rPr>
          <w:rFonts w:hint="eastAsia"/>
        </w:rPr>
        <w:t>截至</w:t>
      </w:r>
      <w:r>
        <w:rPr>
          <w:rFonts w:hint="eastAsia"/>
        </w:rPr>
        <w:t>2011</w:t>
      </w:r>
      <w:r>
        <w:rPr>
          <w:rFonts w:hint="eastAsia"/>
        </w:rPr>
        <w:t>年底</w:t>
      </w:r>
      <w:r w:rsidRPr="00833E32">
        <w:rPr>
          <w:rFonts w:hint="eastAsia"/>
          <w:vertAlign w:val="superscript"/>
        </w:rPr>
        <w:t>④</w:t>
      </w:r>
      <w:r>
        <w:rPr>
          <w:rFonts w:hint="eastAsia"/>
        </w:rPr>
        <w:t>，全国国有企业参保人数为</w:t>
      </w:r>
      <w:r>
        <w:rPr>
          <w:rFonts w:hint="eastAsia"/>
        </w:rPr>
        <w:t>7953.16</w:t>
      </w:r>
      <w:r>
        <w:rPr>
          <w:rFonts w:hint="eastAsia"/>
        </w:rPr>
        <w:t>万人，占企业总参保人数的</w:t>
      </w:r>
      <w:r>
        <w:rPr>
          <w:rFonts w:hint="eastAsia"/>
        </w:rPr>
        <w:t>38.95%</w:t>
      </w:r>
      <w:r>
        <w:rPr>
          <w:rFonts w:hint="eastAsia"/>
        </w:rPr>
        <w:t>；相比之下，其他各种经济类型企业和港澳台外资企业的参保人数增长迅猛，参保人数为</w:t>
      </w:r>
      <w:r>
        <w:rPr>
          <w:rFonts w:hint="eastAsia"/>
        </w:rPr>
        <w:t>8406.41</w:t>
      </w:r>
      <w:r>
        <w:rPr>
          <w:rFonts w:hint="eastAsia"/>
        </w:rPr>
        <w:t>万人，占企业总参保人数的</w:t>
      </w:r>
      <w:r>
        <w:rPr>
          <w:rFonts w:hint="eastAsia"/>
        </w:rPr>
        <w:t>41.17%</w:t>
      </w:r>
      <w:r>
        <w:rPr>
          <w:rFonts w:hint="eastAsia"/>
        </w:rPr>
        <w:t>，</w:t>
      </w:r>
    </w:p>
    <w:p w:rsidR="00286702" w:rsidRDefault="00286702" w:rsidP="00A64A31">
      <w:pPr>
        <w:ind w:firstLine="435"/>
        <w:rPr>
          <w:rFonts w:hint="eastAsia"/>
        </w:rPr>
      </w:pPr>
    </w:p>
    <w:p w:rsidR="001C2353" w:rsidRDefault="001C2353" w:rsidP="00A64A31">
      <w:pPr>
        <w:rPr>
          <w:rFonts w:hint="eastAsia"/>
        </w:rPr>
      </w:pPr>
      <w:r>
        <w:rPr>
          <w:rFonts w:hint="eastAsia"/>
        </w:rPr>
        <w:t>①为专门讨论华建敏副委员长提出的这个命题，会后我们组织课题组做了专项研究，见《可持续性是中国养老金制度的“第一命题”》，载《中国证券报》，</w:t>
      </w:r>
      <w:r>
        <w:rPr>
          <w:rFonts w:hint="eastAsia"/>
        </w:rPr>
        <w:t>2011</w:t>
      </w:r>
      <w:r>
        <w:rPr>
          <w:rFonts w:hint="eastAsia"/>
        </w:rPr>
        <w:t>年</w:t>
      </w:r>
      <w:r>
        <w:rPr>
          <w:rFonts w:hint="eastAsia"/>
        </w:rPr>
        <w:t>12</w:t>
      </w:r>
      <w:r>
        <w:rPr>
          <w:rFonts w:hint="eastAsia"/>
        </w:rPr>
        <w:t>月</w:t>
      </w:r>
      <w:r>
        <w:rPr>
          <w:rFonts w:hint="eastAsia"/>
        </w:rPr>
        <w:t>26</w:t>
      </w:r>
      <w:r>
        <w:rPr>
          <w:rFonts w:hint="eastAsia"/>
        </w:rPr>
        <w:t>日，第</w:t>
      </w:r>
      <w:r>
        <w:rPr>
          <w:rFonts w:hint="eastAsia"/>
        </w:rPr>
        <w:t>A</w:t>
      </w:r>
      <w:r w:rsidR="00833E32">
        <w:rPr>
          <w:rFonts w:hint="eastAsia"/>
        </w:rPr>
        <w:t>1</w:t>
      </w:r>
      <w:r>
        <w:rPr>
          <w:rFonts w:hint="eastAsia"/>
        </w:rPr>
        <w:t>8</w:t>
      </w:r>
      <w:r>
        <w:rPr>
          <w:rFonts w:hint="eastAsia"/>
        </w:rPr>
        <w:t>版。</w:t>
      </w:r>
    </w:p>
    <w:p w:rsidR="001C2353" w:rsidRDefault="001C2353" w:rsidP="001C2353">
      <w:pPr>
        <w:rPr>
          <w:rFonts w:hint="eastAsia"/>
        </w:rPr>
      </w:pPr>
      <w:r>
        <w:rPr>
          <w:rFonts w:hint="eastAsia"/>
        </w:rPr>
        <w:t>②引自《中华人民共和国审计署审计结果公告》，</w:t>
      </w:r>
      <w:r>
        <w:rPr>
          <w:rFonts w:hint="eastAsia"/>
        </w:rPr>
        <w:t>2012</w:t>
      </w:r>
      <w:r>
        <w:rPr>
          <w:rFonts w:hint="eastAsia"/>
        </w:rPr>
        <w:t>年第</w:t>
      </w:r>
      <w:r>
        <w:rPr>
          <w:rFonts w:hint="eastAsia"/>
        </w:rPr>
        <w:t>34</w:t>
      </w:r>
      <w:r>
        <w:rPr>
          <w:rFonts w:hint="eastAsia"/>
        </w:rPr>
        <w:t>号公告（总第</w:t>
      </w:r>
      <w:r>
        <w:rPr>
          <w:rFonts w:hint="eastAsia"/>
        </w:rPr>
        <w:t>141</w:t>
      </w:r>
      <w:r>
        <w:rPr>
          <w:rFonts w:hint="eastAsia"/>
        </w:rPr>
        <w:t>号）。</w:t>
      </w:r>
    </w:p>
    <w:p w:rsidR="001C2353" w:rsidRDefault="001C2353" w:rsidP="001C2353">
      <w:pPr>
        <w:rPr>
          <w:rFonts w:hint="eastAsia"/>
        </w:rPr>
      </w:pPr>
      <w:r>
        <w:rPr>
          <w:rFonts w:hint="eastAsia"/>
        </w:rPr>
        <w:t>③</w:t>
      </w:r>
      <w:r>
        <w:rPr>
          <w:rFonts w:hint="eastAsia"/>
        </w:rPr>
        <w:t>2011</w:t>
      </w:r>
      <w:r>
        <w:rPr>
          <w:rFonts w:hint="eastAsia"/>
        </w:rPr>
        <w:t>年度人力资源和社会保障事业发展统计公报。</w:t>
      </w:r>
    </w:p>
    <w:p w:rsidR="00EF7769" w:rsidRDefault="001C2353" w:rsidP="001C2353">
      <w:r>
        <w:rPr>
          <w:rFonts w:hint="eastAsia"/>
        </w:rPr>
        <w:t>④凡是没有给出注释的数据，均引自本书。</w:t>
      </w:r>
    </w:p>
    <w:sectPr w:rsidR="00EF77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5C3B" w:rsidRDefault="00945C3B" w:rsidP="00945C3B">
      <w:r>
        <w:separator/>
      </w:r>
    </w:p>
  </w:endnote>
  <w:endnote w:type="continuationSeparator" w:id="0">
    <w:p w:rsidR="00945C3B" w:rsidRDefault="00945C3B" w:rsidP="00945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5C3B" w:rsidRDefault="00945C3B" w:rsidP="00945C3B">
      <w:r>
        <w:separator/>
      </w:r>
    </w:p>
  </w:footnote>
  <w:footnote w:type="continuationSeparator" w:id="0">
    <w:p w:rsidR="00945C3B" w:rsidRDefault="00945C3B" w:rsidP="00945C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353"/>
    <w:rsid w:val="00113B2B"/>
    <w:rsid w:val="001C2353"/>
    <w:rsid w:val="002152AB"/>
    <w:rsid w:val="00286702"/>
    <w:rsid w:val="00303D97"/>
    <w:rsid w:val="003A613E"/>
    <w:rsid w:val="004B72F3"/>
    <w:rsid w:val="00500B29"/>
    <w:rsid w:val="007D2E4F"/>
    <w:rsid w:val="00833E32"/>
    <w:rsid w:val="00940D2E"/>
    <w:rsid w:val="00945C3B"/>
    <w:rsid w:val="00A64A31"/>
    <w:rsid w:val="00A71D08"/>
    <w:rsid w:val="00D11585"/>
    <w:rsid w:val="00EF7769"/>
    <w:rsid w:val="00F67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2173DEC-0634-4587-8027-A49BBF21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945C3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945C3B"/>
    <w:rPr>
      <w:kern w:val="2"/>
      <w:sz w:val="18"/>
      <w:szCs w:val="18"/>
    </w:rPr>
  </w:style>
  <w:style w:type="paragraph" w:styleId="a5">
    <w:name w:val="footer"/>
    <w:basedOn w:val="a"/>
    <w:link w:val="a6"/>
    <w:rsid w:val="00945C3B"/>
    <w:pPr>
      <w:tabs>
        <w:tab w:val="center" w:pos="4153"/>
        <w:tab w:val="right" w:pos="8306"/>
      </w:tabs>
      <w:snapToGrid w:val="0"/>
      <w:jc w:val="left"/>
    </w:pPr>
    <w:rPr>
      <w:sz w:val="18"/>
      <w:szCs w:val="18"/>
    </w:rPr>
  </w:style>
  <w:style w:type="character" w:customStyle="1" w:styleId="a6">
    <w:name w:val="页脚 字符"/>
    <w:basedOn w:val="a0"/>
    <w:link w:val="a5"/>
    <w:rsid w:val="00945C3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亦哲君</cp:lastModifiedBy>
  <cp:revision>2</cp:revision>
  <dcterms:created xsi:type="dcterms:W3CDTF">2025-03-30T12:49:00Z</dcterms:created>
  <dcterms:modified xsi:type="dcterms:W3CDTF">2025-03-30T12:49:00Z</dcterms:modified>
</cp:coreProperties>
</file>