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11D1" w:rsidRDefault="009B11D1" w:rsidP="009B11D1">
      <w:pPr>
        <w:rPr>
          <w:rFonts w:hint="eastAsia"/>
        </w:rPr>
      </w:pPr>
      <w:bookmarkStart w:id="0" w:name="_GoBack"/>
      <w:bookmarkEnd w:id="0"/>
      <w:r>
        <w:rPr>
          <w:rFonts w:hint="eastAsia"/>
        </w:rPr>
        <w:t>比</w:t>
      </w:r>
      <w:r>
        <w:rPr>
          <w:rFonts w:hint="eastAsia"/>
        </w:rPr>
        <w:t>2010</w:t>
      </w:r>
      <w:r>
        <w:rPr>
          <w:rFonts w:hint="eastAsia"/>
        </w:rPr>
        <w:t>年提高了</w:t>
      </w:r>
      <w:r>
        <w:rPr>
          <w:rFonts w:hint="eastAsia"/>
        </w:rPr>
        <w:t>3 25</w:t>
      </w:r>
      <w:r>
        <w:rPr>
          <w:rFonts w:hint="eastAsia"/>
        </w:rPr>
        <w:t>个百分点；从比重上看，其他各种经济类型企业和港澳台外资企业的参保人数首次超过国有企业参保人数，这标志着参保状况发生结构性变化。</w:t>
      </w:r>
    </w:p>
    <w:p w:rsidR="009B11D1" w:rsidRDefault="009B11D1" w:rsidP="009B11D1">
      <w:pPr>
        <w:ind w:firstLine="435"/>
        <w:rPr>
          <w:rFonts w:hint="eastAsia"/>
        </w:rPr>
      </w:pPr>
      <w:r>
        <w:rPr>
          <w:rFonts w:hint="eastAsia"/>
        </w:rPr>
        <w:t>2</w:t>
      </w:r>
      <w:r w:rsidR="000E38B1">
        <w:rPr>
          <w:rFonts w:hint="eastAsia"/>
        </w:rPr>
        <w:t xml:space="preserve">. </w:t>
      </w:r>
      <w:r>
        <w:rPr>
          <w:rFonts w:hint="eastAsia"/>
        </w:rPr>
        <w:t>继</w:t>
      </w:r>
      <w:r>
        <w:rPr>
          <w:rFonts w:hint="eastAsia"/>
        </w:rPr>
        <w:t>2007</w:t>
      </w:r>
      <w:r>
        <w:rPr>
          <w:rFonts w:hint="eastAsia"/>
        </w:rPr>
        <w:t>年空账额突破万亿元大关之后，</w:t>
      </w:r>
      <w:r>
        <w:rPr>
          <w:rFonts w:hint="eastAsia"/>
        </w:rPr>
        <w:t>2011</w:t>
      </w:r>
      <w:r>
        <w:rPr>
          <w:rFonts w:hint="eastAsia"/>
        </w:rPr>
        <w:t>年空账额首次突破</w:t>
      </w:r>
      <w:r>
        <w:rPr>
          <w:rFonts w:hint="eastAsia"/>
        </w:rPr>
        <w:t>2</w:t>
      </w:r>
      <w:r>
        <w:rPr>
          <w:rFonts w:hint="eastAsia"/>
        </w:rPr>
        <w:t>万亿元大关</w:t>
      </w:r>
    </w:p>
    <w:p w:rsidR="00EF7769" w:rsidRDefault="009B11D1" w:rsidP="000F75CA">
      <w:pPr>
        <w:ind w:firstLine="435"/>
        <w:rPr>
          <w:rFonts w:hint="eastAsia"/>
        </w:rPr>
      </w:pPr>
      <w:r>
        <w:rPr>
          <w:rFonts w:hint="eastAsia"/>
        </w:rPr>
        <w:t>个人账户空账额继</w:t>
      </w:r>
      <w:r>
        <w:rPr>
          <w:rFonts w:hint="eastAsia"/>
        </w:rPr>
        <w:t>2007</w:t>
      </w:r>
      <w:r>
        <w:rPr>
          <w:rFonts w:hint="eastAsia"/>
        </w:rPr>
        <w:t>年突破万亿元大关之后，</w:t>
      </w:r>
      <w:r>
        <w:rPr>
          <w:rFonts w:hint="eastAsia"/>
        </w:rPr>
        <w:t>2011</w:t>
      </w:r>
      <w:r>
        <w:rPr>
          <w:rFonts w:hint="eastAsia"/>
        </w:rPr>
        <w:t>年又突破</w:t>
      </w:r>
      <w:r>
        <w:rPr>
          <w:rFonts w:hint="eastAsia"/>
        </w:rPr>
        <w:t>2</w:t>
      </w:r>
      <w:r>
        <w:rPr>
          <w:rFonts w:hint="eastAsia"/>
        </w:rPr>
        <w:t>万亿元大关。从表</w:t>
      </w:r>
      <w:r>
        <w:rPr>
          <w:rFonts w:hint="eastAsia"/>
        </w:rPr>
        <w:t>1</w:t>
      </w:r>
      <w:r>
        <w:rPr>
          <w:rFonts w:hint="eastAsia"/>
        </w:rPr>
        <w:t>可以看出，从</w:t>
      </w:r>
      <w:r>
        <w:rPr>
          <w:rFonts w:hint="eastAsia"/>
        </w:rPr>
        <w:t>2006</w:t>
      </w:r>
      <w:r w:rsidR="000F75CA">
        <w:rPr>
          <w:rFonts w:hint="eastAsia"/>
        </w:rPr>
        <w:t>年至</w:t>
      </w:r>
      <w:r w:rsidR="000F75CA">
        <w:rPr>
          <w:rFonts w:hint="eastAsia"/>
        </w:rPr>
        <w:t>2011</w:t>
      </w:r>
      <w:r w:rsidR="000F75CA">
        <w:rPr>
          <w:rFonts w:hint="eastAsia"/>
        </w:rPr>
        <w:t>年，空账额一直大于养老基金余额；空账额的增长率与记账额的增长率大致相当，比较吻合；虽然做实个人账户基金增长率年均达</w:t>
      </w:r>
      <w:r w:rsidR="000F75CA">
        <w:rPr>
          <w:rFonts w:hint="eastAsia"/>
        </w:rPr>
        <w:t>30</w:t>
      </w:r>
      <w:r w:rsidR="00A706CE">
        <w:rPr>
          <w:rFonts w:hint="eastAsia"/>
        </w:rPr>
        <w:t>%</w:t>
      </w:r>
      <w:r w:rsidR="000F75CA">
        <w:rPr>
          <w:rFonts w:hint="eastAsia"/>
        </w:rPr>
        <w:t>以上，远远高于个人账户记账额的增长率（除</w:t>
      </w:r>
      <w:r w:rsidR="000F75CA">
        <w:rPr>
          <w:rFonts w:hint="eastAsia"/>
        </w:rPr>
        <w:t>2011</w:t>
      </w:r>
      <w:r w:rsidR="000F75CA">
        <w:rPr>
          <w:rFonts w:hint="eastAsia"/>
        </w:rPr>
        <w:t>年以外，年均</w:t>
      </w:r>
      <w:r w:rsidR="000F75CA">
        <w:rPr>
          <w:rFonts w:hint="eastAsia"/>
        </w:rPr>
        <w:t>18%</w:t>
      </w:r>
      <w:r w:rsidR="000F75CA">
        <w:rPr>
          <w:rFonts w:hint="eastAsia"/>
        </w:rPr>
        <w:t>左右），但总体看，个人账户基金的规模还是很小，比如，</w:t>
      </w:r>
      <w:r w:rsidR="000F75CA">
        <w:rPr>
          <w:rFonts w:hint="eastAsia"/>
        </w:rPr>
        <w:t>2007</w:t>
      </w:r>
      <w:r w:rsidR="000F75CA">
        <w:rPr>
          <w:rFonts w:hint="eastAsia"/>
        </w:rPr>
        <w:t>年占养老基金规模的</w:t>
      </w:r>
      <w:r w:rsidR="000F75CA">
        <w:rPr>
          <w:rFonts w:hint="eastAsia"/>
        </w:rPr>
        <w:t>10.6%</w:t>
      </w:r>
      <w:r w:rsidR="000F75CA">
        <w:rPr>
          <w:rFonts w:hint="eastAsia"/>
        </w:rPr>
        <w:t>，</w:t>
      </w:r>
      <w:r w:rsidR="000F75CA">
        <w:rPr>
          <w:rFonts w:hint="eastAsia"/>
        </w:rPr>
        <w:t>201 1</w:t>
      </w:r>
      <w:r w:rsidR="000F75CA">
        <w:rPr>
          <w:rFonts w:hint="eastAsia"/>
        </w:rPr>
        <w:t>年仅上升到</w:t>
      </w:r>
      <w:r w:rsidR="000F75CA">
        <w:rPr>
          <w:rFonts w:hint="eastAsia"/>
        </w:rPr>
        <w:t>13.</w:t>
      </w:r>
      <w:r w:rsidR="0001572D">
        <w:rPr>
          <w:rFonts w:hint="eastAsia"/>
        </w:rPr>
        <w:t>9</w:t>
      </w:r>
      <w:r w:rsidR="000F75CA">
        <w:rPr>
          <w:rFonts w:hint="eastAsia"/>
        </w:rPr>
        <w:t>%</w:t>
      </w:r>
      <w:r w:rsidR="000F75CA">
        <w:rPr>
          <w:rFonts w:hint="eastAsia"/>
        </w:rPr>
        <w:t>。</w:t>
      </w:r>
    </w:p>
    <w:p w:rsidR="00D20B6F" w:rsidRDefault="00D20B6F" w:rsidP="00D20B6F">
      <w:pPr>
        <w:rPr>
          <w:rFonts w:hint="eastAsia"/>
          <w:sz w:val="18"/>
          <w:szCs w:val="18"/>
        </w:rPr>
      </w:pPr>
      <w:r w:rsidRPr="00664125">
        <w:rPr>
          <w:rFonts w:hint="eastAsia"/>
          <w:sz w:val="18"/>
          <w:szCs w:val="18"/>
        </w:rPr>
        <w:t>表</w:t>
      </w:r>
      <w:r w:rsidRPr="00664125">
        <w:rPr>
          <w:rFonts w:hint="eastAsia"/>
          <w:sz w:val="18"/>
          <w:szCs w:val="18"/>
        </w:rPr>
        <w:t xml:space="preserve">1 </w:t>
      </w:r>
      <w:r w:rsidR="00664125">
        <w:rPr>
          <w:rFonts w:hint="eastAsia"/>
          <w:sz w:val="18"/>
          <w:szCs w:val="18"/>
        </w:rPr>
        <w:t xml:space="preserve">    </w:t>
      </w:r>
      <w:r w:rsidR="00664125" w:rsidRPr="00664125">
        <w:rPr>
          <w:rFonts w:hint="eastAsia"/>
          <w:sz w:val="18"/>
          <w:szCs w:val="18"/>
        </w:rPr>
        <w:t xml:space="preserve"> </w:t>
      </w:r>
      <w:r w:rsidRPr="00664125">
        <w:rPr>
          <w:rFonts w:hint="eastAsia"/>
          <w:sz w:val="18"/>
          <w:szCs w:val="18"/>
        </w:rPr>
        <w:t>2006-2011</w:t>
      </w:r>
      <w:r w:rsidRPr="00664125">
        <w:rPr>
          <w:rFonts w:hint="eastAsia"/>
          <w:sz w:val="18"/>
          <w:szCs w:val="18"/>
        </w:rPr>
        <w:t>年城镇基本养老保险个人账户基金变化与养老基金规模变化</w:t>
      </w:r>
      <w:r w:rsidRPr="00664125">
        <w:rPr>
          <w:rFonts w:hint="eastAsia"/>
          <w:sz w:val="18"/>
          <w:szCs w:val="18"/>
        </w:rPr>
        <w:t xml:space="preserve">    </w:t>
      </w:r>
      <w:r w:rsidRPr="00664125">
        <w:rPr>
          <w:rFonts w:hint="eastAsia"/>
          <w:sz w:val="18"/>
          <w:szCs w:val="18"/>
        </w:rPr>
        <w:t>单位：亿元，</w:t>
      </w:r>
      <w:r w:rsidRPr="00664125">
        <w:rPr>
          <w:rFonts w:hint="eastAsia"/>
          <w:sz w:val="18"/>
          <w:szCs w:val="18"/>
        </w:rPr>
        <w:t>%</w:t>
      </w:r>
    </w:p>
    <w:tbl>
      <w:tblPr>
        <w:tblStyle w:val="a3"/>
        <w:tblW w:w="0" w:type="auto"/>
        <w:jc w:val="center"/>
        <w:tblLook w:val="01E0" w:firstRow="1" w:lastRow="1" w:firstColumn="1" w:lastColumn="1" w:noHBand="0" w:noVBand="0"/>
      </w:tblPr>
      <w:tblGrid>
        <w:gridCol w:w="1854"/>
        <w:gridCol w:w="898"/>
        <w:gridCol w:w="710"/>
        <w:gridCol w:w="710"/>
        <w:gridCol w:w="710"/>
        <w:gridCol w:w="710"/>
        <w:gridCol w:w="710"/>
        <w:gridCol w:w="710"/>
        <w:gridCol w:w="710"/>
        <w:gridCol w:w="710"/>
        <w:gridCol w:w="711"/>
        <w:gridCol w:w="711"/>
      </w:tblGrid>
      <w:tr w:rsidR="006B69F2" w:rsidRPr="00DF00C3" w:rsidTr="001B4989">
        <w:trPr>
          <w:jc w:val="center"/>
        </w:trPr>
        <w:tc>
          <w:tcPr>
            <w:tcW w:w="1854" w:type="dxa"/>
            <w:vMerge w:val="restart"/>
            <w:vAlign w:val="center"/>
          </w:tcPr>
          <w:p w:rsidR="006B69F2" w:rsidRPr="00DF00C3" w:rsidRDefault="006B69F2" w:rsidP="00DF00C3">
            <w:pPr>
              <w:jc w:val="center"/>
              <w:rPr>
                <w:sz w:val="18"/>
                <w:szCs w:val="18"/>
              </w:rPr>
            </w:pPr>
          </w:p>
        </w:tc>
        <w:tc>
          <w:tcPr>
            <w:tcW w:w="898" w:type="dxa"/>
            <w:vAlign w:val="center"/>
          </w:tcPr>
          <w:p w:rsidR="006B69F2" w:rsidRPr="00DF00C3" w:rsidRDefault="006B69F2" w:rsidP="00DF00C3">
            <w:pPr>
              <w:jc w:val="center"/>
              <w:rPr>
                <w:rFonts w:hint="eastAsia"/>
                <w:sz w:val="18"/>
                <w:szCs w:val="18"/>
              </w:rPr>
            </w:pPr>
            <w:r w:rsidRPr="00DF00C3">
              <w:rPr>
                <w:rFonts w:hint="eastAsia"/>
                <w:sz w:val="18"/>
                <w:szCs w:val="18"/>
              </w:rPr>
              <w:t>2006</w:t>
            </w:r>
            <w:r w:rsidRPr="00DF00C3">
              <w:rPr>
                <w:rFonts w:hint="eastAsia"/>
                <w:sz w:val="18"/>
                <w:szCs w:val="18"/>
              </w:rPr>
              <w:t>年</w:t>
            </w:r>
          </w:p>
        </w:tc>
        <w:tc>
          <w:tcPr>
            <w:tcW w:w="1420" w:type="dxa"/>
            <w:gridSpan w:val="2"/>
            <w:vAlign w:val="center"/>
          </w:tcPr>
          <w:p w:rsidR="006B69F2" w:rsidRPr="00DF00C3" w:rsidRDefault="006B69F2" w:rsidP="00DF00C3">
            <w:pPr>
              <w:jc w:val="center"/>
              <w:rPr>
                <w:rFonts w:hint="eastAsia"/>
                <w:sz w:val="18"/>
                <w:szCs w:val="18"/>
              </w:rPr>
            </w:pPr>
            <w:r w:rsidRPr="00DF00C3">
              <w:rPr>
                <w:rFonts w:hint="eastAsia"/>
                <w:sz w:val="18"/>
                <w:szCs w:val="18"/>
              </w:rPr>
              <w:t>2007</w:t>
            </w:r>
            <w:r w:rsidRPr="00DF00C3">
              <w:rPr>
                <w:rFonts w:hint="eastAsia"/>
                <w:sz w:val="18"/>
                <w:szCs w:val="18"/>
              </w:rPr>
              <w:t>年</w:t>
            </w:r>
          </w:p>
        </w:tc>
        <w:tc>
          <w:tcPr>
            <w:tcW w:w="1420" w:type="dxa"/>
            <w:gridSpan w:val="2"/>
            <w:vAlign w:val="center"/>
          </w:tcPr>
          <w:p w:rsidR="006B69F2" w:rsidRPr="00DF00C3" w:rsidRDefault="006B69F2" w:rsidP="00DF00C3">
            <w:pPr>
              <w:jc w:val="center"/>
              <w:rPr>
                <w:rFonts w:hint="eastAsia"/>
                <w:sz w:val="18"/>
                <w:szCs w:val="18"/>
              </w:rPr>
            </w:pPr>
            <w:r w:rsidRPr="00DF00C3">
              <w:rPr>
                <w:rFonts w:hint="eastAsia"/>
                <w:sz w:val="18"/>
                <w:szCs w:val="18"/>
              </w:rPr>
              <w:t>2008</w:t>
            </w:r>
            <w:r w:rsidRPr="00DF00C3">
              <w:rPr>
                <w:rFonts w:hint="eastAsia"/>
                <w:sz w:val="18"/>
                <w:szCs w:val="18"/>
              </w:rPr>
              <w:t>年</w:t>
            </w:r>
          </w:p>
        </w:tc>
        <w:tc>
          <w:tcPr>
            <w:tcW w:w="1420" w:type="dxa"/>
            <w:gridSpan w:val="2"/>
            <w:vAlign w:val="center"/>
          </w:tcPr>
          <w:p w:rsidR="006B69F2" w:rsidRPr="00DF00C3" w:rsidRDefault="006B69F2" w:rsidP="00DF00C3">
            <w:pPr>
              <w:jc w:val="center"/>
              <w:rPr>
                <w:rFonts w:hint="eastAsia"/>
                <w:sz w:val="18"/>
                <w:szCs w:val="18"/>
              </w:rPr>
            </w:pPr>
            <w:r w:rsidRPr="00DF00C3">
              <w:rPr>
                <w:rFonts w:hint="eastAsia"/>
                <w:sz w:val="18"/>
                <w:szCs w:val="18"/>
              </w:rPr>
              <w:t>2009</w:t>
            </w:r>
            <w:r w:rsidRPr="00DF00C3">
              <w:rPr>
                <w:rFonts w:hint="eastAsia"/>
                <w:sz w:val="18"/>
                <w:szCs w:val="18"/>
              </w:rPr>
              <w:t>年</w:t>
            </w:r>
          </w:p>
        </w:tc>
        <w:tc>
          <w:tcPr>
            <w:tcW w:w="1420" w:type="dxa"/>
            <w:gridSpan w:val="2"/>
            <w:vAlign w:val="center"/>
          </w:tcPr>
          <w:p w:rsidR="006B69F2" w:rsidRPr="00DF00C3" w:rsidRDefault="006B69F2" w:rsidP="00DF00C3">
            <w:pPr>
              <w:jc w:val="center"/>
              <w:rPr>
                <w:rFonts w:hint="eastAsia"/>
                <w:sz w:val="18"/>
                <w:szCs w:val="18"/>
              </w:rPr>
            </w:pPr>
            <w:r w:rsidRPr="00DF00C3">
              <w:rPr>
                <w:rFonts w:hint="eastAsia"/>
                <w:sz w:val="18"/>
                <w:szCs w:val="18"/>
              </w:rPr>
              <w:t>2010</w:t>
            </w:r>
            <w:r w:rsidRPr="00DF00C3">
              <w:rPr>
                <w:rFonts w:hint="eastAsia"/>
                <w:sz w:val="18"/>
                <w:szCs w:val="18"/>
              </w:rPr>
              <w:t>年</w:t>
            </w:r>
          </w:p>
        </w:tc>
        <w:tc>
          <w:tcPr>
            <w:tcW w:w="1422" w:type="dxa"/>
            <w:gridSpan w:val="2"/>
            <w:vAlign w:val="center"/>
          </w:tcPr>
          <w:p w:rsidR="006B69F2" w:rsidRPr="00DF00C3" w:rsidRDefault="006B69F2" w:rsidP="00DF00C3">
            <w:pPr>
              <w:jc w:val="center"/>
              <w:rPr>
                <w:rFonts w:hint="eastAsia"/>
                <w:sz w:val="18"/>
                <w:szCs w:val="18"/>
              </w:rPr>
            </w:pPr>
            <w:r w:rsidRPr="00DF00C3">
              <w:rPr>
                <w:rFonts w:hint="eastAsia"/>
                <w:sz w:val="18"/>
                <w:szCs w:val="18"/>
              </w:rPr>
              <w:t>2011</w:t>
            </w:r>
            <w:r w:rsidRPr="00DF00C3">
              <w:rPr>
                <w:rFonts w:hint="eastAsia"/>
                <w:sz w:val="18"/>
                <w:szCs w:val="18"/>
              </w:rPr>
              <w:t>年</w:t>
            </w:r>
          </w:p>
        </w:tc>
      </w:tr>
      <w:tr w:rsidR="006B69F2" w:rsidRPr="00DF00C3" w:rsidTr="001B4989">
        <w:trPr>
          <w:jc w:val="center"/>
        </w:trPr>
        <w:tc>
          <w:tcPr>
            <w:tcW w:w="1854" w:type="dxa"/>
            <w:vMerge/>
            <w:vAlign w:val="center"/>
          </w:tcPr>
          <w:p w:rsidR="006B69F2" w:rsidRPr="00DF00C3" w:rsidRDefault="006B69F2" w:rsidP="00DF00C3">
            <w:pPr>
              <w:jc w:val="center"/>
              <w:rPr>
                <w:sz w:val="18"/>
                <w:szCs w:val="18"/>
              </w:rPr>
            </w:pPr>
          </w:p>
        </w:tc>
        <w:tc>
          <w:tcPr>
            <w:tcW w:w="898" w:type="dxa"/>
            <w:vAlign w:val="center"/>
          </w:tcPr>
          <w:p w:rsidR="006B69F2" w:rsidRPr="00DF00C3" w:rsidRDefault="006F49F9" w:rsidP="00DF00C3">
            <w:pPr>
              <w:jc w:val="center"/>
              <w:rPr>
                <w:rFonts w:hint="eastAsia"/>
                <w:sz w:val="18"/>
                <w:szCs w:val="18"/>
              </w:rPr>
            </w:pPr>
            <w:r w:rsidRPr="00DF00C3">
              <w:rPr>
                <w:rFonts w:hint="eastAsia"/>
                <w:sz w:val="18"/>
                <w:szCs w:val="18"/>
              </w:rPr>
              <w:t>a</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a</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b</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a</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b</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a</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b</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a</w:t>
            </w:r>
          </w:p>
        </w:tc>
        <w:tc>
          <w:tcPr>
            <w:tcW w:w="710" w:type="dxa"/>
            <w:vAlign w:val="center"/>
          </w:tcPr>
          <w:p w:rsidR="006B69F2" w:rsidRPr="00DF00C3" w:rsidRDefault="006F49F9" w:rsidP="00DF00C3">
            <w:pPr>
              <w:jc w:val="center"/>
              <w:rPr>
                <w:rFonts w:hint="eastAsia"/>
                <w:sz w:val="18"/>
                <w:szCs w:val="18"/>
              </w:rPr>
            </w:pPr>
            <w:r w:rsidRPr="00DF00C3">
              <w:rPr>
                <w:rFonts w:hint="eastAsia"/>
                <w:sz w:val="18"/>
                <w:szCs w:val="18"/>
              </w:rPr>
              <w:t>b</w:t>
            </w:r>
          </w:p>
        </w:tc>
        <w:tc>
          <w:tcPr>
            <w:tcW w:w="711" w:type="dxa"/>
            <w:vAlign w:val="center"/>
          </w:tcPr>
          <w:p w:rsidR="006B69F2" w:rsidRPr="00DF00C3" w:rsidRDefault="006F49F9" w:rsidP="00DF00C3">
            <w:pPr>
              <w:jc w:val="center"/>
              <w:rPr>
                <w:rFonts w:hint="eastAsia"/>
                <w:sz w:val="18"/>
                <w:szCs w:val="18"/>
              </w:rPr>
            </w:pPr>
            <w:r w:rsidRPr="00DF00C3">
              <w:rPr>
                <w:rFonts w:hint="eastAsia"/>
                <w:sz w:val="18"/>
                <w:szCs w:val="18"/>
              </w:rPr>
              <w:t>a</w:t>
            </w:r>
          </w:p>
        </w:tc>
        <w:tc>
          <w:tcPr>
            <w:tcW w:w="711" w:type="dxa"/>
            <w:vAlign w:val="center"/>
          </w:tcPr>
          <w:p w:rsidR="006B69F2" w:rsidRPr="00DF00C3" w:rsidRDefault="006F49F9" w:rsidP="00DF00C3">
            <w:pPr>
              <w:jc w:val="center"/>
              <w:rPr>
                <w:rFonts w:hint="eastAsia"/>
                <w:sz w:val="18"/>
                <w:szCs w:val="18"/>
              </w:rPr>
            </w:pPr>
            <w:r w:rsidRPr="00DF00C3">
              <w:rPr>
                <w:rFonts w:hint="eastAsia"/>
                <w:sz w:val="18"/>
                <w:szCs w:val="18"/>
              </w:rPr>
              <w:t>b</w:t>
            </w:r>
          </w:p>
        </w:tc>
      </w:tr>
      <w:tr w:rsidR="006B69F2" w:rsidRPr="00DF00C3" w:rsidTr="001B4989">
        <w:trPr>
          <w:jc w:val="center"/>
        </w:trPr>
        <w:tc>
          <w:tcPr>
            <w:tcW w:w="1854" w:type="dxa"/>
            <w:vAlign w:val="center"/>
          </w:tcPr>
          <w:p w:rsidR="006B69F2" w:rsidRPr="00DF00C3" w:rsidRDefault="00DF00C3" w:rsidP="00DF00C3">
            <w:pPr>
              <w:jc w:val="center"/>
              <w:rPr>
                <w:sz w:val="18"/>
                <w:szCs w:val="18"/>
              </w:rPr>
            </w:pPr>
            <w:r w:rsidRPr="00DF00C3">
              <w:rPr>
                <w:rFonts w:hint="eastAsia"/>
                <w:sz w:val="18"/>
                <w:szCs w:val="18"/>
              </w:rPr>
              <w:t>记账额</w:t>
            </w:r>
          </w:p>
        </w:tc>
        <w:tc>
          <w:tcPr>
            <w:tcW w:w="898" w:type="dxa"/>
            <w:vAlign w:val="center"/>
          </w:tcPr>
          <w:p w:rsidR="006B69F2" w:rsidRPr="00DE3CFD" w:rsidRDefault="00DE3CFD" w:rsidP="00DF00C3">
            <w:pPr>
              <w:jc w:val="center"/>
              <w:rPr>
                <w:sz w:val="18"/>
                <w:szCs w:val="18"/>
              </w:rPr>
            </w:pPr>
            <w:r w:rsidRPr="00DE3CFD">
              <w:rPr>
                <w:sz w:val="18"/>
                <w:szCs w:val="18"/>
              </w:rPr>
              <w:t>9994</w:t>
            </w:r>
          </w:p>
        </w:tc>
        <w:tc>
          <w:tcPr>
            <w:tcW w:w="710" w:type="dxa"/>
            <w:vAlign w:val="center"/>
          </w:tcPr>
          <w:p w:rsidR="006B69F2" w:rsidRPr="00DF00C3" w:rsidRDefault="00DE3CFD" w:rsidP="00DF00C3">
            <w:pPr>
              <w:jc w:val="center"/>
              <w:rPr>
                <w:sz w:val="18"/>
                <w:szCs w:val="18"/>
              </w:rPr>
            </w:pPr>
            <w:r w:rsidRPr="00DE3CFD">
              <w:rPr>
                <w:sz w:val="18"/>
                <w:szCs w:val="18"/>
              </w:rPr>
              <w:t>11743</w:t>
            </w:r>
          </w:p>
        </w:tc>
        <w:tc>
          <w:tcPr>
            <w:tcW w:w="710" w:type="dxa"/>
            <w:vAlign w:val="center"/>
          </w:tcPr>
          <w:p w:rsidR="006B69F2" w:rsidRPr="00DF00C3" w:rsidRDefault="00DE3CFD" w:rsidP="00DF00C3">
            <w:pPr>
              <w:jc w:val="center"/>
              <w:rPr>
                <w:sz w:val="18"/>
                <w:szCs w:val="18"/>
              </w:rPr>
            </w:pPr>
            <w:r w:rsidRPr="00DE3CFD">
              <w:rPr>
                <w:sz w:val="18"/>
                <w:szCs w:val="18"/>
              </w:rPr>
              <w:t>17.5</w:t>
            </w:r>
          </w:p>
        </w:tc>
        <w:tc>
          <w:tcPr>
            <w:tcW w:w="710" w:type="dxa"/>
            <w:vAlign w:val="center"/>
          </w:tcPr>
          <w:p w:rsidR="006B69F2" w:rsidRPr="00DF00C3" w:rsidRDefault="00DE3CFD" w:rsidP="00DF00C3">
            <w:pPr>
              <w:jc w:val="center"/>
              <w:rPr>
                <w:sz w:val="18"/>
                <w:szCs w:val="18"/>
              </w:rPr>
            </w:pPr>
            <w:r w:rsidRPr="00DE3CFD">
              <w:rPr>
                <w:sz w:val="18"/>
                <w:szCs w:val="18"/>
              </w:rPr>
              <w:t>13837</w:t>
            </w:r>
          </w:p>
        </w:tc>
        <w:tc>
          <w:tcPr>
            <w:tcW w:w="710" w:type="dxa"/>
            <w:vAlign w:val="center"/>
          </w:tcPr>
          <w:p w:rsidR="006B69F2" w:rsidRPr="00DF00C3" w:rsidRDefault="00DE3CFD" w:rsidP="00DF00C3">
            <w:pPr>
              <w:jc w:val="center"/>
              <w:rPr>
                <w:sz w:val="18"/>
                <w:szCs w:val="18"/>
              </w:rPr>
            </w:pPr>
            <w:r w:rsidRPr="00DE3CFD">
              <w:rPr>
                <w:sz w:val="18"/>
                <w:szCs w:val="18"/>
              </w:rPr>
              <w:t>17.8</w:t>
            </w:r>
          </w:p>
        </w:tc>
        <w:tc>
          <w:tcPr>
            <w:tcW w:w="710" w:type="dxa"/>
            <w:vAlign w:val="center"/>
          </w:tcPr>
          <w:p w:rsidR="006B69F2" w:rsidRPr="00DF00C3" w:rsidRDefault="00DE3CFD" w:rsidP="00DF00C3">
            <w:pPr>
              <w:jc w:val="center"/>
              <w:rPr>
                <w:sz w:val="18"/>
                <w:szCs w:val="18"/>
              </w:rPr>
            </w:pPr>
            <w:r w:rsidRPr="00DE3CFD">
              <w:rPr>
                <w:sz w:val="18"/>
                <w:szCs w:val="18"/>
              </w:rPr>
              <w:t>16557</w:t>
            </w:r>
          </w:p>
        </w:tc>
        <w:tc>
          <w:tcPr>
            <w:tcW w:w="710" w:type="dxa"/>
            <w:vAlign w:val="center"/>
          </w:tcPr>
          <w:p w:rsidR="006B69F2" w:rsidRPr="00DF00C3" w:rsidRDefault="00DE3CFD" w:rsidP="00DF00C3">
            <w:pPr>
              <w:jc w:val="center"/>
              <w:rPr>
                <w:sz w:val="18"/>
                <w:szCs w:val="18"/>
              </w:rPr>
            </w:pPr>
            <w:r w:rsidRPr="00DE3CFD">
              <w:rPr>
                <w:sz w:val="18"/>
                <w:szCs w:val="18"/>
              </w:rPr>
              <w:t>19.7</w:t>
            </w:r>
          </w:p>
        </w:tc>
        <w:tc>
          <w:tcPr>
            <w:tcW w:w="710" w:type="dxa"/>
            <w:vAlign w:val="center"/>
          </w:tcPr>
          <w:p w:rsidR="006B69F2" w:rsidRPr="00DF00C3" w:rsidRDefault="00DE3CFD" w:rsidP="00DF00C3">
            <w:pPr>
              <w:jc w:val="center"/>
              <w:rPr>
                <w:sz w:val="18"/>
                <w:szCs w:val="18"/>
              </w:rPr>
            </w:pPr>
            <w:r w:rsidRPr="00DE3CFD">
              <w:rPr>
                <w:sz w:val="18"/>
                <w:szCs w:val="18"/>
              </w:rPr>
              <w:t>19596</w:t>
            </w:r>
          </w:p>
        </w:tc>
        <w:tc>
          <w:tcPr>
            <w:tcW w:w="710" w:type="dxa"/>
            <w:vAlign w:val="center"/>
          </w:tcPr>
          <w:p w:rsidR="006B69F2" w:rsidRPr="00DF00C3" w:rsidRDefault="00DE3CFD" w:rsidP="00DF00C3">
            <w:pPr>
              <w:jc w:val="center"/>
              <w:rPr>
                <w:sz w:val="18"/>
                <w:szCs w:val="18"/>
              </w:rPr>
            </w:pPr>
            <w:r w:rsidRPr="00DE3CFD">
              <w:rPr>
                <w:sz w:val="18"/>
                <w:szCs w:val="18"/>
              </w:rPr>
              <w:t>18.4</w:t>
            </w:r>
          </w:p>
        </w:tc>
        <w:tc>
          <w:tcPr>
            <w:tcW w:w="711" w:type="dxa"/>
            <w:vAlign w:val="center"/>
          </w:tcPr>
          <w:p w:rsidR="006B69F2" w:rsidRPr="00DF00C3" w:rsidRDefault="00DE3CFD" w:rsidP="00DF00C3">
            <w:pPr>
              <w:jc w:val="center"/>
              <w:rPr>
                <w:sz w:val="18"/>
                <w:szCs w:val="18"/>
              </w:rPr>
            </w:pPr>
            <w:r w:rsidRPr="00DE3CFD">
              <w:rPr>
                <w:sz w:val="18"/>
                <w:szCs w:val="18"/>
              </w:rPr>
              <w:t>24859</w:t>
            </w:r>
          </w:p>
        </w:tc>
        <w:tc>
          <w:tcPr>
            <w:tcW w:w="711" w:type="dxa"/>
            <w:vAlign w:val="center"/>
          </w:tcPr>
          <w:p w:rsidR="006B69F2" w:rsidRPr="00DF00C3" w:rsidRDefault="00DE3CFD" w:rsidP="00DF00C3">
            <w:pPr>
              <w:jc w:val="center"/>
              <w:rPr>
                <w:sz w:val="18"/>
                <w:szCs w:val="18"/>
              </w:rPr>
            </w:pPr>
            <w:r w:rsidRPr="00DE3CFD">
              <w:rPr>
                <w:sz w:val="18"/>
                <w:szCs w:val="18"/>
              </w:rPr>
              <w:t>26.9</w:t>
            </w:r>
          </w:p>
        </w:tc>
      </w:tr>
      <w:tr w:rsidR="006B69F2" w:rsidRPr="00DF00C3" w:rsidTr="001B4989">
        <w:trPr>
          <w:jc w:val="center"/>
        </w:trPr>
        <w:tc>
          <w:tcPr>
            <w:tcW w:w="1854" w:type="dxa"/>
            <w:vAlign w:val="center"/>
          </w:tcPr>
          <w:p w:rsidR="006B69F2" w:rsidRPr="00DF00C3" w:rsidRDefault="00DF00C3" w:rsidP="00DF00C3">
            <w:pPr>
              <w:jc w:val="center"/>
              <w:rPr>
                <w:sz w:val="18"/>
                <w:szCs w:val="18"/>
              </w:rPr>
            </w:pPr>
            <w:r w:rsidRPr="00DF00C3">
              <w:rPr>
                <w:rFonts w:hint="eastAsia"/>
                <w:sz w:val="18"/>
                <w:szCs w:val="18"/>
              </w:rPr>
              <w:t>做实账户基金规模</w:t>
            </w:r>
          </w:p>
        </w:tc>
        <w:tc>
          <w:tcPr>
            <w:tcW w:w="898" w:type="dxa"/>
            <w:vAlign w:val="center"/>
          </w:tcPr>
          <w:p w:rsidR="006B69F2" w:rsidRPr="007F739C" w:rsidRDefault="007F739C" w:rsidP="00DF00C3">
            <w:pPr>
              <w:jc w:val="center"/>
              <w:rPr>
                <w:sz w:val="18"/>
                <w:szCs w:val="18"/>
              </w:rPr>
            </w:pPr>
            <w:r w:rsidRPr="007F739C">
              <w:rPr>
                <w:sz w:val="18"/>
                <w:szCs w:val="18"/>
              </w:rPr>
              <w:t>-</w:t>
            </w:r>
          </w:p>
        </w:tc>
        <w:tc>
          <w:tcPr>
            <w:tcW w:w="710" w:type="dxa"/>
            <w:vAlign w:val="center"/>
          </w:tcPr>
          <w:p w:rsidR="006B69F2" w:rsidRPr="00DF00C3" w:rsidRDefault="007F739C" w:rsidP="00DF00C3">
            <w:pPr>
              <w:jc w:val="center"/>
              <w:rPr>
                <w:sz w:val="18"/>
                <w:szCs w:val="18"/>
              </w:rPr>
            </w:pPr>
            <w:r w:rsidRPr="007F739C">
              <w:rPr>
                <w:sz w:val="18"/>
                <w:szCs w:val="18"/>
              </w:rPr>
              <w:t>786</w:t>
            </w:r>
          </w:p>
        </w:tc>
        <w:tc>
          <w:tcPr>
            <w:tcW w:w="710" w:type="dxa"/>
            <w:vAlign w:val="center"/>
          </w:tcPr>
          <w:p w:rsidR="006B69F2" w:rsidRPr="00DF00C3" w:rsidRDefault="007F739C" w:rsidP="00DF00C3">
            <w:pPr>
              <w:jc w:val="center"/>
              <w:rPr>
                <w:sz w:val="18"/>
                <w:szCs w:val="18"/>
              </w:rPr>
            </w:pPr>
            <w:r w:rsidRPr="007F739C">
              <w:rPr>
                <w:sz w:val="18"/>
                <w:szCs w:val="18"/>
              </w:rPr>
              <w:t>-</w:t>
            </w:r>
          </w:p>
        </w:tc>
        <w:tc>
          <w:tcPr>
            <w:tcW w:w="710" w:type="dxa"/>
            <w:vAlign w:val="center"/>
          </w:tcPr>
          <w:p w:rsidR="006B69F2" w:rsidRPr="00DF00C3" w:rsidRDefault="007F739C" w:rsidP="00DF00C3">
            <w:pPr>
              <w:jc w:val="center"/>
              <w:rPr>
                <w:sz w:val="18"/>
                <w:szCs w:val="18"/>
              </w:rPr>
            </w:pPr>
            <w:r w:rsidRPr="007F739C">
              <w:rPr>
                <w:sz w:val="18"/>
                <w:szCs w:val="18"/>
              </w:rPr>
              <w:t>1100</w:t>
            </w:r>
          </w:p>
        </w:tc>
        <w:tc>
          <w:tcPr>
            <w:tcW w:w="710" w:type="dxa"/>
            <w:vAlign w:val="center"/>
          </w:tcPr>
          <w:p w:rsidR="006B69F2" w:rsidRPr="00DF00C3" w:rsidRDefault="007F739C" w:rsidP="00DF00C3">
            <w:pPr>
              <w:jc w:val="center"/>
              <w:rPr>
                <w:sz w:val="18"/>
                <w:szCs w:val="18"/>
              </w:rPr>
            </w:pPr>
            <w:r w:rsidRPr="007F739C">
              <w:rPr>
                <w:sz w:val="18"/>
                <w:szCs w:val="18"/>
              </w:rPr>
              <w:t>39.9</w:t>
            </w:r>
          </w:p>
        </w:tc>
        <w:tc>
          <w:tcPr>
            <w:tcW w:w="710" w:type="dxa"/>
            <w:vAlign w:val="center"/>
          </w:tcPr>
          <w:p w:rsidR="006B69F2" w:rsidRPr="00DF00C3" w:rsidRDefault="007F739C" w:rsidP="00DF00C3">
            <w:pPr>
              <w:jc w:val="center"/>
              <w:rPr>
                <w:sz w:val="18"/>
                <w:szCs w:val="18"/>
              </w:rPr>
            </w:pPr>
            <w:r w:rsidRPr="007F739C">
              <w:rPr>
                <w:sz w:val="18"/>
                <w:szCs w:val="18"/>
              </w:rPr>
              <w:t>1569</w:t>
            </w:r>
          </w:p>
        </w:tc>
        <w:tc>
          <w:tcPr>
            <w:tcW w:w="710" w:type="dxa"/>
            <w:vAlign w:val="center"/>
          </w:tcPr>
          <w:p w:rsidR="006B69F2" w:rsidRPr="00DF00C3" w:rsidRDefault="007F739C" w:rsidP="00DF00C3">
            <w:pPr>
              <w:jc w:val="center"/>
              <w:rPr>
                <w:sz w:val="18"/>
                <w:szCs w:val="18"/>
              </w:rPr>
            </w:pPr>
            <w:r w:rsidRPr="007F739C">
              <w:rPr>
                <w:sz w:val="18"/>
                <w:szCs w:val="18"/>
              </w:rPr>
              <w:t>42.6</w:t>
            </w:r>
          </w:p>
        </w:tc>
        <w:tc>
          <w:tcPr>
            <w:tcW w:w="710" w:type="dxa"/>
            <w:vAlign w:val="center"/>
          </w:tcPr>
          <w:p w:rsidR="006B69F2" w:rsidRPr="00DF00C3" w:rsidRDefault="007F739C" w:rsidP="00DF00C3">
            <w:pPr>
              <w:jc w:val="center"/>
              <w:rPr>
                <w:sz w:val="18"/>
                <w:szCs w:val="18"/>
              </w:rPr>
            </w:pPr>
            <w:r w:rsidRPr="007F739C">
              <w:rPr>
                <w:sz w:val="18"/>
                <w:szCs w:val="18"/>
              </w:rPr>
              <w:t>2039</w:t>
            </w:r>
          </w:p>
        </w:tc>
        <w:tc>
          <w:tcPr>
            <w:tcW w:w="710" w:type="dxa"/>
            <w:vAlign w:val="center"/>
          </w:tcPr>
          <w:p w:rsidR="006B69F2" w:rsidRPr="00DF00C3" w:rsidRDefault="007F739C" w:rsidP="00DF00C3">
            <w:pPr>
              <w:jc w:val="center"/>
              <w:rPr>
                <w:sz w:val="18"/>
                <w:szCs w:val="18"/>
              </w:rPr>
            </w:pPr>
            <w:r w:rsidRPr="007F739C">
              <w:rPr>
                <w:sz w:val="18"/>
                <w:szCs w:val="18"/>
              </w:rPr>
              <w:t>30.0</w:t>
            </w:r>
          </w:p>
        </w:tc>
        <w:tc>
          <w:tcPr>
            <w:tcW w:w="711" w:type="dxa"/>
            <w:vAlign w:val="center"/>
          </w:tcPr>
          <w:p w:rsidR="006B69F2" w:rsidRPr="00DF00C3" w:rsidRDefault="007F739C" w:rsidP="00DF00C3">
            <w:pPr>
              <w:jc w:val="center"/>
              <w:rPr>
                <w:sz w:val="18"/>
                <w:szCs w:val="18"/>
              </w:rPr>
            </w:pPr>
            <w:r w:rsidRPr="007F739C">
              <w:rPr>
                <w:sz w:val="18"/>
                <w:szCs w:val="18"/>
              </w:rPr>
              <w:t>2703</w:t>
            </w:r>
          </w:p>
        </w:tc>
        <w:tc>
          <w:tcPr>
            <w:tcW w:w="711" w:type="dxa"/>
            <w:vAlign w:val="center"/>
          </w:tcPr>
          <w:p w:rsidR="006B69F2" w:rsidRPr="00DF00C3" w:rsidRDefault="007F739C" w:rsidP="00DF00C3">
            <w:pPr>
              <w:jc w:val="center"/>
              <w:rPr>
                <w:sz w:val="18"/>
                <w:szCs w:val="18"/>
              </w:rPr>
            </w:pPr>
            <w:r w:rsidRPr="007F739C">
              <w:rPr>
                <w:sz w:val="18"/>
                <w:szCs w:val="18"/>
              </w:rPr>
              <w:t>32.6</w:t>
            </w:r>
          </w:p>
        </w:tc>
      </w:tr>
      <w:tr w:rsidR="006B69F2" w:rsidRPr="00DF00C3" w:rsidTr="001B4989">
        <w:trPr>
          <w:jc w:val="center"/>
        </w:trPr>
        <w:tc>
          <w:tcPr>
            <w:tcW w:w="1854" w:type="dxa"/>
            <w:vAlign w:val="center"/>
          </w:tcPr>
          <w:p w:rsidR="006B69F2" w:rsidRPr="00DF00C3" w:rsidRDefault="00DF00C3" w:rsidP="00DF00C3">
            <w:pPr>
              <w:jc w:val="center"/>
              <w:rPr>
                <w:sz w:val="18"/>
                <w:szCs w:val="18"/>
              </w:rPr>
            </w:pPr>
            <w:r w:rsidRPr="00DF00C3">
              <w:rPr>
                <w:rFonts w:hint="eastAsia"/>
                <w:sz w:val="18"/>
                <w:szCs w:val="18"/>
              </w:rPr>
              <w:t>空账额</w:t>
            </w:r>
          </w:p>
        </w:tc>
        <w:tc>
          <w:tcPr>
            <w:tcW w:w="898" w:type="dxa"/>
            <w:vAlign w:val="center"/>
          </w:tcPr>
          <w:p w:rsidR="006B69F2" w:rsidRPr="00E8655A" w:rsidRDefault="00E8655A" w:rsidP="00DF00C3">
            <w:pPr>
              <w:jc w:val="center"/>
              <w:rPr>
                <w:sz w:val="18"/>
                <w:szCs w:val="18"/>
              </w:rPr>
            </w:pPr>
            <w:r w:rsidRPr="00E8655A">
              <w:rPr>
                <w:sz w:val="18"/>
                <w:szCs w:val="18"/>
              </w:rPr>
              <w:t>-</w:t>
            </w:r>
          </w:p>
        </w:tc>
        <w:tc>
          <w:tcPr>
            <w:tcW w:w="710" w:type="dxa"/>
            <w:vAlign w:val="center"/>
          </w:tcPr>
          <w:p w:rsidR="006B69F2" w:rsidRPr="00DF00C3" w:rsidRDefault="00E8655A" w:rsidP="00DF00C3">
            <w:pPr>
              <w:jc w:val="center"/>
              <w:rPr>
                <w:sz w:val="18"/>
                <w:szCs w:val="18"/>
              </w:rPr>
            </w:pPr>
            <w:r w:rsidRPr="00E8655A">
              <w:rPr>
                <w:sz w:val="18"/>
                <w:szCs w:val="18"/>
              </w:rPr>
              <w:t>10957</w:t>
            </w:r>
          </w:p>
        </w:tc>
        <w:tc>
          <w:tcPr>
            <w:tcW w:w="710" w:type="dxa"/>
            <w:vAlign w:val="center"/>
          </w:tcPr>
          <w:p w:rsidR="006B69F2" w:rsidRPr="00DF00C3" w:rsidRDefault="00E8655A" w:rsidP="00DF00C3">
            <w:pPr>
              <w:jc w:val="center"/>
              <w:rPr>
                <w:sz w:val="18"/>
                <w:szCs w:val="18"/>
              </w:rPr>
            </w:pPr>
            <w:r w:rsidRPr="00E8655A">
              <w:rPr>
                <w:sz w:val="18"/>
                <w:szCs w:val="18"/>
              </w:rPr>
              <w:t>-</w:t>
            </w:r>
          </w:p>
        </w:tc>
        <w:tc>
          <w:tcPr>
            <w:tcW w:w="710" w:type="dxa"/>
            <w:vAlign w:val="center"/>
          </w:tcPr>
          <w:p w:rsidR="006B69F2" w:rsidRPr="00DF00C3" w:rsidRDefault="00E8655A" w:rsidP="00DF00C3">
            <w:pPr>
              <w:jc w:val="center"/>
              <w:rPr>
                <w:sz w:val="18"/>
                <w:szCs w:val="18"/>
              </w:rPr>
            </w:pPr>
            <w:r w:rsidRPr="00E8655A">
              <w:rPr>
                <w:sz w:val="18"/>
                <w:szCs w:val="18"/>
              </w:rPr>
              <w:t>12737</w:t>
            </w:r>
          </w:p>
        </w:tc>
        <w:tc>
          <w:tcPr>
            <w:tcW w:w="710" w:type="dxa"/>
            <w:vAlign w:val="center"/>
          </w:tcPr>
          <w:p w:rsidR="006B69F2" w:rsidRPr="00DF00C3" w:rsidRDefault="00E8655A" w:rsidP="00DF00C3">
            <w:pPr>
              <w:jc w:val="center"/>
              <w:rPr>
                <w:sz w:val="18"/>
                <w:szCs w:val="18"/>
              </w:rPr>
            </w:pPr>
            <w:r w:rsidRPr="00E8655A">
              <w:rPr>
                <w:sz w:val="18"/>
                <w:szCs w:val="18"/>
              </w:rPr>
              <w:t>16.0</w:t>
            </w:r>
          </w:p>
        </w:tc>
        <w:tc>
          <w:tcPr>
            <w:tcW w:w="710" w:type="dxa"/>
            <w:vAlign w:val="center"/>
          </w:tcPr>
          <w:p w:rsidR="006B69F2" w:rsidRPr="00DF00C3" w:rsidRDefault="00E8655A" w:rsidP="00DF00C3">
            <w:pPr>
              <w:jc w:val="center"/>
              <w:rPr>
                <w:sz w:val="18"/>
                <w:szCs w:val="18"/>
              </w:rPr>
            </w:pPr>
            <w:r w:rsidRPr="00E8655A">
              <w:rPr>
                <w:sz w:val="18"/>
                <w:szCs w:val="18"/>
              </w:rPr>
              <w:t>14988</w:t>
            </w:r>
          </w:p>
        </w:tc>
        <w:tc>
          <w:tcPr>
            <w:tcW w:w="710" w:type="dxa"/>
            <w:vAlign w:val="center"/>
          </w:tcPr>
          <w:p w:rsidR="006B69F2" w:rsidRPr="00DF00C3" w:rsidRDefault="00E8655A" w:rsidP="00DF00C3">
            <w:pPr>
              <w:jc w:val="center"/>
              <w:rPr>
                <w:sz w:val="18"/>
                <w:szCs w:val="18"/>
              </w:rPr>
            </w:pPr>
            <w:r w:rsidRPr="00E8655A">
              <w:rPr>
                <w:sz w:val="18"/>
                <w:szCs w:val="18"/>
              </w:rPr>
              <w:t>17.7</w:t>
            </w:r>
          </w:p>
        </w:tc>
        <w:tc>
          <w:tcPr>
            <w:tcW w:w="710" w:type="dxa"/>
            <w:vAlign w:val="center"/>
          </w:tcPr>
          <w:p w:rsidR="006B69F2" w:rsidRPr="00DF00C3" w:rsidRDefault="00E8655A" w:rsidP="00DF00C3">
            <w:pPr>
              <w:jc w:val="center"/>
              <w:rPr>
                <w:sz w:val="18"/>
                <w:szCs w:val="18"/>
              </w:rPr>
            </w:pPr>
            <w:r w:rsidRPr="00E8655A">
              <w:rPr>
                <w:sz w:val="18"/>
                <w:szCs w:val="18"/>
              </w:rPr>
              <w:t>17557</w:t>
            </w:r>
          </w:p>
        </w:tc>
        <w:tc>
          <w:tcPr>
            <w:tcW w:w="710" w:type="dxa"/>
            <w:vAlign w:val="center"/>
          </w:tcPr>
          <w:p w:rsidR="006B69F2" w:rsidRPr="00DF00C3" w:rsidRDefault="00E8655A" w:rsidP="00DF00C3">
            <w:pPr>
              <w:jc w:val="center"/>
              <w:rPr>
                <w:sz w:val="18"/>
                <w:szCs w:val="18"/>
              </w:rPr>
            </w:pPr>
            <w:r w:rsidRPr="00E8655A">
              <w:rPr>
                <w:sz w:val="18"/>
                <w:szCs w:val="18"/>
              </w:rPr>
              <w:t>17.1</w:t>
            </w:r>
          </w:p>
        </w:tc>
        <w:tc>
          <w:tcPr>
            <w:tcW w:w="711" w:type="dxa"/>
            <w:vAlign w:val="center"/>
          </w:tcPr>
          <w:p w:rsidR="006B69F2" w:rsidRPr="00DF00C3" w:rsidRDefault="00E8655A" w:rsidP="00DF00C3">
            <w:pPr>
              <w:jc w:val="center"/>
              <w:rPr>
                <w:sz w:val="18"/>
                <w:szCs w:val="18"/>
              </w:rPr>
            </w:pPr>
            <w:r w:rsidRPr="00E8655A">
              <w:rPr>
                <w:sz w:val="18"/>
                <w:szCs w:val="18"/>
              </w:rPr>
              <w:t>22156</w:t>
            </w:r>
          </w:p>
        </w:tc>
        <w:tc>
          <w:tcPr>
            <w:tcW w:w="711" w:type="dxa"/>
            <w:vAlign w:val="center"/>
          </w:tcPr>
          <w:p w:rsidR="006B69F2" w:rsidRPr="00DF00C3" w:rsidRDefault="00E8655A" w:rsidP="00DF00C3">
            <w:pPr>
              <w:jc w:val="center"/>
              <w:rPr>
                <w:sz w:val="18"/>
                <w:szCs w:val="18"/>
              </w:rPr>
            </w:pPr>
            <w:r w:rsidRPr="00E8655A">
              <w:rPr>
                <w:sz w:val="18"/>
                <w:szCs w:val="18"/>
              </w:rPr>
              <w:t>26.2</w:t>
            </w:r>
          </w:p>
        </w:tc>
      </w:tr>
      <w:tr w:rsidR="006B69F2" w:rsidRPr="00DF00C3" w:rsidTr="001B4989">
        <w:trPr>
          <w:jc w:val="center"/>
        </w:trPr>
        <w:tc>
          <w:tcPr>
            <w:tcW w:w="1854" w:type="dxa"/>
            <w:vAlign w:val="center"/>
          </w:tcPr>
          <w:p w:rsidR="006B69F2" w:rsidRPr="00DF00C3" w:rsidRDefault="00DF00C3" w:rsidP="00DF00C3">
            <w:pPr>
              <w:jc w:val="center"/>
              <w:rPr>
                <w:sz w:val="18"/>
                <w:szCs w:val="18"/>
              </w:rPr>
            </w:pPr>
            <w:r w:rsidRPr="00DF00C3">
              <w:rPr>
                <w:rFonts w:hint="eastAsia"/>
                <w:sz w:val="18"/>
                <w:szCs w:val="18"/>
              </w:rPr>
              <w:t>养老基金余额</w:t>
            </w:r>
          </w:p>
        </w:tc>
        <w:tc>
          <w:tcPr>
            <w:tcW w:w="898" w:type="dxa"/>
            <w:vAlign w:val="center"/>
          </w:tcPr>
          <w:p w:rsidR="006B69F2" w:rsidRPr="00497ADA" w:rsidRDefault="00497ADA" w:rsidP="00DF00C3">
            <w:pPr>
              <w:jc w:val="center"/>
              <w:rPr>
                <w:sz w:val="18"/>
                <w:szCs w:val="18"/>
              </w:rPr>
            </w:pPr>
            <w:r w:rsidRPr="00497ADA">
              <w:rPr>
                <w:sz w:val="18"/>
                <w:szCs w:val="18"/>
              </w:rPr>
              <w:t>5489</w:t>
            </w:r>
          </w:p>
        </w:tc>
        <w:tc>
          <w:tcPr>
            <w:tcW w:w="710" w:type="dxa"/>
            <w:vAlign w:val="center"/>
          </w:tcPr>
          <w:p w:rsidR="006B69F2" w:rsidRPr="00DF00C3" w:rsidRDefault="00497ADA" w:rsidP="00DF00C3">
            <w:pPr>
              <w:jc w:val="center"/>
              <w:rPr>
                <w:sz w:val="18"/>
                <w:szCs w:val="18"/>
              </w:rPr>
            </w:pPr>
            <w:r w:rsidRPr="00497ADA">
              <w:rPr>
                <w:sz w:val="18"/>
                <w:szCs w:val="18"/>
              </w:rPr>
              <w:t>7391</w:t>
            </w:r>
          </w:p>
        </w:tc>
        <w:tc>
          <w:tcPr>
            <w:tcW w:w="710" w:type="dxa"/>
            <w:vAlign w:val="center"/>
          </w:tcPr>
          <w:p w:rsidR="006B69F2" w:rsidRPr="00DF00C3" w:rsidRDefault="00497ADA" w:rsidP="00DF00C3">
            <w:pPr>
              <w:jc w:val="center"/>
              <w:rPr>
                <w:sz w:val="18"/>
                <w:szCs w:val="18"/>
              </w:rPr>
            </w:pPr>
            <w:r w:rsidRPr="00497ADA">
              <w:rPr>
                <w:sz w:val="18"/>
                <w:szCs w:val="18"/>
              </w:rPr>
              <w:t>34.7</w:t>
            </w:r>
          </w:p>
        </w:tc>
        <w:tc>
          <w:tcPr>
            <w:tcW w:w="710" w:type="dxa"/>
            <w:vAlign w:val="center"/>
          </w:tcPr>
          <w:p w:rsidR="006B69F2" w:rsidRPr="00DF00C3" w:rsidRDefault="00497ADA" w:rsidP="00DF00C3">
            <w:pPr>
              <w:jc w:val="center"/>
              <w:rPr>
                <w:sz w:val="18"/>
                <w:szCs w:val="18"/>
              </w:rPr>
            </w:pPr>
            <w:r w:rsidRPr="00497ADA">
              <w:rPr>
                <w:sz w:val="18"/>
                <w:szCs w:val="18"/>
              </w:rPr>
              <w:t>9931</w:t>
            </w:r>
          </w:p>
        </w:tc>
        <w:tc>
          <w:tcPr>
            <w:tcW w:w="710" w:type="dxa"/>
            <w:vAlign w:val="center"/>
          </w:tcPr>
          <w:p w:rsidR="006B69F2" w:rsidRPr="00DF00C3" w:rsidRDefault="00497ADA" w:rsidP="00DF00C3">
            <w:pPr>
              <w:jc w:val="center"/>
              <w:rPr>
                <w:sz w:val="18"/>
                <w:szCs w:val="18"/>
              </w:rPr>
            </w:pPr>
            <w:r w:rsidRPr="00497ADA">
              <w:rPr>
                <w:sz w:val="18"/>
                <w:szCs w:val="18"/>
              </w:rPr>
              <w:t>34.4</w:t>
            </w:r>
          </w:p>
        </w:tc>
        <w:tc>
          <w:tcPr>
            <w:tcW w:w="710" w:type="dxa"/>
            <w:vAlign w:val="center"/>
          </w:tcPr>
          <w:p w:rsidR="006B69F2" w:rsidRPr="00DF00C3" w:rsidRDefault="00497ADA" w:rsidP="00DF00C3">
            <w:pPr>
              <w:jc w:val="center"/>
              <w:rPr>
                <w:sz w:val="18"/>
                <w:szCs w:val="18"/>
              </w:rPr>
            </w:pPr>
            <w:r w:rsidRPr="00497ADA">
              <w:rPr>
                <w:sz w:val="18"/>
                <w:szCs w:val="18"/>
              </w:rPr>
              <w:t>12526</w:t>
            </w:r>
          </w:p>
        </w:tc>
        <w:tc>
          <w:tcPr>
            <w:tcW w:w="710" w:type="dxa"/>
            <w:vAlign w:val="center"/>
          </w:tcPr>
          <w:p w:rsidR="006B69F2" w:rsidRPr="00DF00C3" w:rsidRDefault="00497ADA" w:rsidP="00DF00C3">
            <w:pPr>
              <w:jc w:val="center"/>
              <w:rPr>
                <w:sz w:val="18"/>
                <w:szCs w:val="18"/>
              </w:rPr>
            </w:pPr>
            <w:r w:rsidRPr="00497ADA">
              <w:rPr>
                <w:sz w:val="18"/>
                <w:szCs w:val="18"/>
              </w:rPr>
              <w:t>26.1</w:t>
            </w:r>
          </w:p>
        </w:tc>
        <w:tc>
          <w:tcPr>
            <w:tcW w:w="710" w:type="dxa"/>
            <w:vAlign w:val="center"/>
          </w:tcPr>
          <w:p w:rsidR="006B69F2" w:rsidRPr="00DF00C3" w:rsidRDefault="00497ADA" w:rsidP="00DF00C3">
            <w:pPr>
              <w:jc w:val="center"/>
              <w:rPr>
                <w:sz w:val="18"/>
                <w:szCs w:val="18"/>
              </w:rPr>
            </w:pPr>
            <w:r w:rsidRPr="00497ADA">
              <w:rPr>
                <w:sz w:val="18"/>
                <w:szCs w:val="18"/>
              </w:rPr>
              <w:t>15365</w:t>
            </w:r>
          </w:p>
        </w:tc>
        <w:tc>
          <w:tcPr>
            <w:tcW w:w="710" w:type="dxa"/>
            <w:vAlign w:val="center"/>
          </w:tcPr>
          <w:p w:rsidR="006B69F2" w:rsidRPr="00DF00C3" w:rsidRDefault="00497ADA" w:rsidP="00DF00C3">
            <w:pPr>
              <w:jc w:val="center"/>
              <w:rPr>
                <w:sz w:val="18"/>
                <w:szCs w:val="18"/>
              </w:rPr>
            </w:pPr>
            <w:r w:rsidRPr="00497ADA">
              <w:rPr>
                <w:sz w:val="18"/>
                <w:szCs w:val="18"/>
              </w:rPr>
              <w:t>22.6</w:t>
            </w:r>
          </w:p>
        </w:tc>
        <w:tc>
          <w:tcPr>
            <w:tcW w:w="711" w:type="dxa"/>
            <w:vAlign w:val="center"/>
          </w:tcPr>
          <w:p w:rsidR="006B69F2" w:rsidRPr="00DF00C3" w:rsidRDefault="00497ADA" w:rsidP="00DF00C3">
            <w:pPr>
              <w:jc w:val="center"/>
              <w:rPr>
                <w:sz w:val="18"/>
                <w:szCs w:val="18"/>
              </w:rPr>
            </w:pPr>
            <w:r w:rsidRPr="00497ADA">
              <w:rPr>
                <w:sz w:val="18"/>
                <w:szCs w:val="18"/>
              </w:rPr>
              <w:t>19497</w:t>
            </w:r>
          </w:p>
        </w:tc>
        <w:tc>
          <w:tcPr>
            <w:tcW w:w="711" w:type="dxa"/>
            <w:vAlign w:val="center"/>
          </w:tcPr>
          <w:p w:rsidR="006B69F2" w:rsidRPr="00DF00C3" w:rsidRDefault="00497ADA" w:rsidP="00DF00C3">
            <w:pPr>
              <w:jc w:val="center"/>
              <w:rPr>
                <w:sz w:val="18"/>
                <w:szCs w:val="18"/>
              </w:rPr>
            </w:pPr>
            <w:r w:rsidRPr="00497ADA">
              <w:rPr>
                <w:sz w:val="18"/>
                <w:szCs w:val="18"/>
              </w:rPr>
              <w:t>26.9</w:t>
            </w:r>
          </w:p>
        </w:tc>
      </w:tr>
    </w:tbl>
    <w:p w:rsidR="006B79D8" w:rsidRPr="006B79D8" w:rsidRDefault="006B79D8" w:rsidP="006B79D8">
      <w:pPr>
        <w:rPr>
          <w:rFonts w:hint="eastAsia"/>
          <w:sz w:val="18"/>
          <w:szCs w:val="18"/>
        </w:rPr>
      </w:pPr>
      <w:r w:rsidRPr="006B79D8">
        <w:rPr>
          <w:rFonts w:hint="eastAsia"/>
          <w:sz w:val="18"/>
          <w:szCs w:val="18"/>
        </w:rPr>
        <w:t>注：</w:t>
      </w:r>
      <w:r w:rsidRPr="006B79D8">
        <w:rPr>
          <w:rFonts w:hint="eastAsia"/>
          <w:sz w:val="18"/>
          <w:szCs w:val="18"/>
        </w:rPr>
        <w:t>a</w:t>
      </w:r>
      <w:r w:rsidRPr="006B79D8">
        <w:rPr>
          <w:rFonts w:hint="eastAsia"/>
          <w:sz w:val="18"/>
          <w:szCs w:val="18"/>
        </w:rPr>
        <w:t>为亿元；</w:t>
      </w:r>
      <w:r w:rsidRPr="006B79D8">
        <w:rPr>
          <w:rFonts w:hint="eastAsia"/>
          <w:sz w:val="18"/>
          <w:szCs w:val="18"/>
        </w:rPr>
        <w:t>b</w:t>
      </w:r>
      <w:r w:rsidRPr="006B79D8">
        <w:rPr>
          <w:rFonts w:hint="eastAsia"/>
          <w:sz w:val="18"/>
          <w:szCs w:val="18"/>
        </w:rPr>
        <w:t>为增长率。</w:t>
      </w:r>
    </w:p>
    <w:p w:rsidR="00D22384" w:rsidRDefault="006B79D8" w:rsidP="006B79D8">
      <w:pPr>
        <w:rPr>
          <w:rFonts w:hint="eastAsia"/>
          <w:sz w:val="18"/>
          <w:szCs w:val="18"/>
        </w:rPr>
      </w:pPr>
      <w:r w:rsidRPr="006B79D8">
        <w:rPr>
          <w:rFonts w:hint="eastAsia"/>
          <w:sz w:val="18"/>
          <w:szCs w:val="18"/>
        </w:rPr>
        <w:t>资料来源：根据历年人力资源和社会保障事业发展统计公报整理得来。</w:t>
      </w:r>
    </w:p>
    <w:p w:rsidR="006913E9" w:rsidRPr="006913E9" w:rsidRDefault="006913E9" w:rsidP="005E4DA7">
      <w:pPr>
        <w:ind w:firstLineChars="200" w:firstLine="420"/>
        <w:rPr>
          <w:rFonts w:hint="eastAsia"/>
          <w:szCs w:val="21"/>
        </w:rPr>
      </w:pPr>
      <w:r w:rsidRPr="006913E9">
        <w:rPr>
          <w:rFonts w:hint="eastAsia"/>
          <w:szCs w:val="21"/>
        </w:rPr>
        <w:t>3</w:t>
      </w:r>
      <w:r w:rsidRPr="006913E9">
        <w:rPr>
          <w:rFonts w:hint="eastAsia"/>
          <w:szCs w:val="21"/>
        </w:rPr>
        <w:t>．虽然城镇基本养老保险基金当期结余规模很大，但剔除财政补贴和“非正常缴费”之后却几乎为零</w:t>
      </w:r>
    </w:p>
    <w:p w:rsidR="006913E9" w:rsidRPr="006913E9" w:rsidRDefault="006913E9" w:rsidP="006913E9">
      <w:pPr>
        <w:rPr>
          <w:rFonts w:hint="eastAsia"/>
          <w:szCs w:val="21"/>
        </w:rPr>
      </w:pPr>
      <w:r w:rsidRPr="006913E9">
        <w:rPr>
          <w:rFonts w:hint="eastAsia"/>
          <w:szCs w:val="21"/>
        </w:rPr>
        <w:t xml:space="preserve">  </w:t>
      </w:r>
      <w:r w:rsidR="005E4DA7">
        <w:rPr>
          <w:rFonts w:hint="eastAsia"/>
          <w:szCs w:val="21"/>
        </w:rPr>
        <w:t xml:space="preserve">  </w:t>
      </w:r>
      <w:r w:rsidRPr="006913E9">
        <w:rPr>
          <w:rFonts w:hint="eastAsia"/>
          <w:szCs w:val="21"/>
        </w:rPr>
        <w:t>在城镇职工基本养老保险征缴收入中，“正常缴费”</w:t>
      </w:r>
      <w:r w:rsidRPr="006913E9">
        <w:rPr>
          <w:rFonts w:hint="eastAsia"/>
          <w:szCs w:val="21"/>
        </w:rPr>
        <w:t>12058</w:t>
      </w:r>
      <w:r w:rsidRPr="006913E9">
        <w:rPr>
          <w:rFonts w:hint="eastAsia"/>
          <w:szCs w:val="21"/>
        </w:rPr>
        <w:t>亿元，占</w:t>
      </w:r>
      <w:r w:rsidRPr="006913E9">
        <w:rPr>
          <w:rFonts w:hint="eastAsia"/>
          <w:szCs w:val="21"/>
        </w:rPr>
        <w:t>86.40%</w:t>
      </w:r>
      <w:r w:rsidRPr="006913E9">
        <w:rPr>
          <w:rFonts w:hint="eastAsia"/>
          <w:szCs w:val="21"/>
        </w:rPr>
        <w:t>；“非正常缴费”</w:t>
      </w:r>
      <w:r w:rsidRPr="006913E9">
        <w:rPr>
          <w:rFonts w:hint="eastAsia"/>
          <w:szCs w:val="21"/>
        </w:rPr>
        <w:t>1898</w:t>
      </w:r>
      <w:r w:rsidRPr="006913E9">
        <w:rPr>
          <w:rFonts w:hint="eastAsia"/>
          <w:szCs w:val="21"/>
        </w:rPr>
        <w:t>亿元，占</w:t>
      </w:r>
      <w:r w:rsidRPr="006913E9">
        <w:rPr>
          <w:rFonts w:hint="eastAsia"/>
          <w:szCs w:val="21"/>
        </w:rPr>
        <w:t>24.60%</w:t>
      </w:r>
      <w:r w:rsidRPr="006913E9">
        <w:rPr>
          <w:rFonts w:hint="eastAsia"/>
          <w:szCs w:val="21"/>
        </w:rPr>
        <w:t>，其中，“非正常缴费”主要由“补缴”构成，为</w:t>
      </w:r>
      <w:r w:rsidRPr="006913E9">
        <w:rPr>
          <w:rFonts w:hint="eastAsia"/>
          <w:szCs w:val="21"/>
        </w:rPr>
        <w:t>1511</w:t>
      </w:r>
      <w:r w:rsidRPr="006913E9">
        <w:rPr>
          <w:rFonts w:hint="eastAsia"/>
          <w:szCs w:val="21"/>
        </w:rPr>
        <w:t>亿元（其他为“预缴”</w:t>
      </w:r>
      <w:r w:rsidRPr="006913E9">
        <w:rPr>
          <w:rFonts w:hint="eastAsia"/>
          <w:szCs w:val="21"/>
        </w:rPr>
        <w:t>75</w:t>
      </w:r>
      <w:r w:rsidRPr="006913E9">
        <w:rPr>
          <w:rFonts w:hint="eastAsia"/>
          <w:szCs w:val="21"/>
        </w:rPr>
        <w:t>亿元，“清理历史欠费”</w:t>
      </w:r>
      <w:r w:rsidRPr="006913E9">
        <w:rPr>
          <w:rFonts w:hint="eastAsia"/>
          <w:szCs w:val="21"/>
        </w:rPr>
        <w:t>273</w:t>
      </w:r>
      <w:r w:rsidRPr="006913E9">
        <w:rPr>
          <w:rFonts w:hint="eastAsia"/>
          <w:szCs w:val="21"/>
        </w:rPr>
        <w:t>亿元和“其他”</w:t>
      </w:r>
      <w:r w:rsidRPr="006913E9">
        <w:rPr>
          <w:rFonts w:hint="eastAsia"/>
          <w:szCs w:val="21"/>
        </w:rPr>
        <w:t>39</w:t>
      </w:r>
      <w:r w:rsidRPr="006913E9">
        <w:rPr>
          <w:rFonts w:hint="eastAsia"/>
          <w:szCs w:val="21"/>
        </w:rPr>
        <w:t>亿元）。与</w:t>
      </w:r>
      <w:r w:rsidRPr="006913E9">
        <w:rPr>
          <w:rFonts w:hint="eastAsia"/>
          <w:szCs w:val="21"/>
        </w:rPr>
        <w:t>2010</w:t>
      </w:r>
      <w:r w:rsidRPr="006913E9">
        <w:rPr>
          <w:rFonts w:hint="eastAsia"/>
          <w:szCs w:val="21"/>
        </w:rPr>
        <w:t>年相比，“正常缴费”所占比重下降了</w:t>
      </w:r>
      <w:r w:rsidRPr="006913E9">
        <w:rPr>
          <w:rFonts w:hint="eastAsia"/>
          <w:szCs w:val="21"/>
        </w:rPr>
        <w:t>1.88</w:t>
      </w:r>
      <w:r w:rsidRPr="006913E9">
        <w:rPr>
          <w:rFonts w:hint="eastAsia"/>
          <w:szCs w:val="21"/>
        </w:rPr>
        <w:t>个百分点，而“补缴”所占比重上升了</w:t>
      </w:r>
      <w:r w:rsidRPr="006913E9">
        <w:rPr>
          <w:rFonts w:hint="eastAsia"/>
          <w:szCs w:val="21"/>
        </w:rPr>
        <w:t>1.75</w:t>
      </w:r>
      <w:r w:rsidRPr="006913E9">
        <w:rPr>
          <w:rFonts w:hint="eastAsia"/>
          <w:szCs w:val="21"/>
        </w:rPr>
        <w:t>个百分点。</w:t>
      </w:r>
    </w:p>
    <w:p w:rsidR="006913E9" w:rsidRPr="006913E9" w:rsidRDefault="006913E9" w:rsidP="006913E9">
      <w:pPr>
        <w:rPr>
          <w:rFonts w:hint="eastAsia"/>
          <w:szCs w:val="21"/>
        </w:rPr>
      </w:pPr>
      <w:r w:rsidRPr="006913E9">
        <w:rPr>
          <w:rFonts w:hint="eastAsia"/>
          <w:szCs w:val="21"/>
        </w:rPr>
        <w:t xml:space="preserve">  </w:t>
      </w:r>
      <w:r w:rsidR="005E4DA7">
        <w:rPr>
          <w:rFonts w:hint="eastAsia"/>
          <w:szCs w:val="21"/>
        </w:rPr>
        <w:t xml:space="preserve">  </w:t>
      </w:r>
      <w:r w:rsidRPr="006913E9">
        <w:rPr>
          <w:rFonts w:hint="eastAsia"/>
          <w:szCs w:val="21"/>
        </w:rPr>
        <w:t>虽然</w:t>
      </w:r>
      <w:r w:rsidRPr="006913E9">
        <w:rPr>
          <w:rFonts w:hint="eastAsia"/>
          <w:szCs w:val="21"/>
        </w:rPr>
        <w:t>2011</w:t>
      </w:r>
      <w:r w:rsidRPr="006913E9">
        <w:rPr>
          <w:rFonts w:hint="eastAsia"/>
          <w:szCs w:val="21"/>
        </w:rPr>
        <w:t>年当期结余高达</w:t>
      </w:r>
      <w:r w:rsidRPr="006913E9">
        <w:rPr>
          <w:rFonts w:hint="eastAsia"/>
          <w:szCs w:val="21"/>
        </w:rPr>
        <w:t>4130</w:t>
      </w:r>
      <w:r w:rsidRPr="006913E9">
        <w:rPr>
          <w:rFonts w:hint="eastAsia"/>
          <w:szCs w:val="21"/>
        </w:rPr>
        <w:t>亿元，但是，如果剔除高达</w:t>
      </w:r>
      <w:r w:rsidRPr="006913E9">
        <w:rPr>
          <w:rFonts w:hint="eastAsia"/>
          <w:szCs w:val="21"/>
        </w:rPr>
        <w:t>2272</w:t>
      </w:r>
      <w:r w:rsidRPr="006913E9">
        <w:rPr>
          <w:rFonts w:hint="eastAsia"/>
          <w:szCs w:val="21"/>
        </w:rPr>
        <w:t>亿元的财政补贴，再剔除由扩大覆盖面导致的“补缴”</w:t>
      </w:r>
      <w:r w:rsidRPr="006913E9">
        <w:rPr>
          <w:rFonts w:hint="eastAsia"/>
          <w:szCs w:val="21"/>
        </w:rPr>
        <w:t>1511</w:t>
      </w:r>
      <w:r w:rsidRPr="006913E9">
        <w:rPr>
          <w:rFonts w:hint="eastAsia"/>
          <w:szCs w:val="21"/>
        </w:rPr>
        <w:t>亿元，当年的收支余额仅为</w:t>
      </w:r>
      <w:r w:rsidRPr="006913E9">
        <w:rPr>
          <w:rFonts w:hint="eastAsia"/>
          <w:szCs w:val="21"/>
        </w:rPr>
        <w:t>347</w:t>
      </w:r>
      <w:r w:rsidRPr="006913E9">
        <w:rPr>
          <w:rFonts w:hint="eastAsia"/>
          <w:szCs w:val="21"/>
        </w:rPr>
        <w:t>亿元。如果再剔除“预缴”和“清理历史欠费”等因素，</w:t>
      </w:r>
      <w:r w:rsidRPr="006913E9">
        <w:rPr>
          <w:rFonts w:hint="eastAsia"/>
          <w:szCs w:val="21"/>
        </w:rPr>
        <w:t>2011</w:t>
      </w:r>
      <w:r w:rsidRPr="006913E9">
        <w:rPr>
          <w:rFonts w:hint="eastAsia"/>
          <w:szCs w:val="21"/>
        </w:rPr>
        <w:t>年当期几乎没有任何余额。这说明，养老保险制度的正常缴费收入与支出基本相等，当期的财务可持续能力与</w:t>
      </w:r>
      <w:r w:rsidRPr="006913E9">
        <w:rPr>
          <w:rFonts w:hint="eastAsia"/>
          <w:szCs w:val="21"/>
        </w:rPr>
        <w:t>28%</w:t>
      </w:r>
      <w:r w:rsidRPr="006913E9">
        <w:rPr>
          <w:rFonts w:hint="eastAsia"/>
          <w:szCs w:val="21"/>
        </w:rPr>
        <w:t>的缴费率相比很不匹配。另外，很多地方政府热衷于制定“补缴政策”，显然其目的之一是为了扩大当期基金收入，弥补支出缺口；补缴对象主要是那些达到法定退休年龄但不符合按月领取基本养老金条件的断保人员、灵活就业人员和低收入群体，还有一些未参保人员；采取的是一次性优惠补缴（续缴）政策。这意味着，“补缴”可提高当期的制度收入，但却显然又加大了未来支付风险。</w:t>
      </w:r>
    </w:p>
    <w:p w:rsidR="006913E9" w:rsidRPr="006913E9" w:rsidRDefault="006913E9" w:rsidP="006913E9">
      <w:pPr>
        <w:rPr>
          <w:rFonts w:hint="eastAsia"/>
          <w:szCs w:val="21"/>
        </w:rPr>
      </w:pPr>
      <w:r w:rsidRPr="006913E9">
        <w:rPr>
          <w:rFonts w:hint="eastAsia"/>
          <w:szCs w:val="21"/>
        </w:rPr>
        <w:t xml:space="preserve">  </w:t>
      </w:r>
      <w:r w:rsidR="005E4DA7">
        <w:rPr>
          <w:rFonts w:hint="eastAsia"/>
          <w:szCs w:val="21"/>
        </w:rPr>
        <w:t xml:space="preserve">  </w:t>
      </w:r>
      <w:r w:rsidRPr="006913E9">
        <w:rPr>
          <w:rFonts w:hint="eastAsia"/>
          <w:szCs w:val="21"/>
        </w:rPr>
        <w:t>4</w:t>
      </w:r>
      <w:r w:rsidRPr="006913E9">
        <w:rPr>
          <w:rFonts w:hint="eastAsia"/>
          <w:szCs w:val="21"/>
        </w:rPr>
        <w:t>．当期收不抵支的省份虽然比</w:t>
      </w:r>
      <w:r w:rsidRPr="006913E9">
        <w:rPr>
          <w:rFonts w:hint="eastAsia"/>
          <w:szCs w:val="21"/>
        </w:rPr>
        <w:t>2010</w:t>
      </w:r>
      <w:r w:rsidRPr="006913E9">
        <w:rPr>
          <w:rFonts w:hint="eastAsia"/>
          <w:szCs w:val="21"/>
        </w:rPr>
        <w:t>年有所减少，但收支缺口却大于</w:t>
      </w:r>
      <w:r w:rsidRPr="006913E9">
        <w:rPr>
          <w:rFonts w:hint="eastAsia"/>
          <w:szCs w:val="21"/>
        </w:rPr>
        <w:t>2010</w:t>
      </w:r>
      <w:r w:rsidRPr="006913E9">
        <w:rPr>
          <w:rFonts w:hint="eastAsia"/>
          <w:szCs w:val="21"/>
        </w:rPr>
        <w:t>年</w:t>
      </w:r>
    </w:p>
    <w:p w:rsidR="006913E9" w:rsidRPr="006913E9" w:rsidRDefault="006913E9" w:rsidP="006913E9">
      <w:pPr>
        <w:rPr>
          <w:rFonts w:hint="eastAsia"/>
          <w:szCs w:val="21"/>
        </w:rPr>
      </w:pPr>
      <w:r w:rsidRPr="006913E9">
        <w:rPr>
          <w:rFonts w:hint="eastAsia"/>
          <w:szCs w:val="21"/>
        </w:rPr>
        <w:t xml:space="preserve">  </w:t>
      </w:r>
      <w:r w:rsidR="00C136FE">
        <w:rPr>
          <w:rFonts w:hint="eastAsia"/>
          <w:szCs w:val="21"/>
        </w:rPr>
        <w:t xml:space="preserve">  </w:t>
      </w:r>
      <w:r w:rsidRPr="006913E9">
        <w:rPr>
          <w:rFonts w:hint="eastAsia"/>
          <w:szCs w:val="21"/>
        </w:rPr>
        <w:t>在</w:t>
      </w:r>
      <w:r w:rsidRPr="006913E9">
        <w:rPr>
          <w:rFonts w:hint="eastAsia"/>
          <w:szCs w:val="21"/>
        </w:rPr>
        <w:t>32</w:t>
      </w:r>
      <w:r w:rsidRPr="006913E9">
        <w:rPr>
          <w:rFonts w:hint="eastAsia"/>
          <w:szCs w:val="21"/>
        </w:rPr>
        <w:t>个统筹单位中</w:t>
      </w:r>
      <w:r w:rsidRPr="006913E9">
        <w:rPr>
          <w:rFonts w:hint="eastAsia"/>
          <w:szCs w:val="21"/>
        </w:rPr>
        <w:t>(31</w:t>
      </w:r>
      <w:r w:rsidRPr="006913E9">
        <w:rPr>
          <w:rFonts w:hint="eastAsia"/>
          <w:szCs w:val="21"/>
        </w:rPr>
        <w:t>个省加上新疆兵团</w:t>
      </w:r>
      <w:r w:rsidRPr="006913E9">
        <w:rPr>
          <w:rFonts w:hint="eastAsia"/>
          <w:szCs w:val="21"/>
        </w:rPr>
        <w:t>)</w:t>
      </w:r>
      <w:r w:rsidRPr="006913E9">
        <w:rPr>
          <w:rFonts w:hint="eastAsia"/>
          <w:szCs w:val="21"/>
        </w:rPr>
        <w:t>，如果剔除财政补贴，</w:t>
      </w:r>
      <w:r w:rsidRPr="006913E9">
        <w:rPr>
          <w:rFonts w:hint="eastAsia"/>
          <w:szCs w:val="21"/>
        </w:rPr>
        <w:t>2010</w:t>
      </w:r>
      <w:r w:rsidRPr="006913E9">
        <w:rPr>
          <w:rFonts w:hint="eastAsia"/>
          <w:szCs w:val="21"/>
        </w:rPr>
        <w:t>年有</w:t>
      </w:r>
      <w:r w:rsidRPr="006913E9">
        <w:rPr>
          <w:rFonts w:hint="eastAsia"/>
          <w:szCs w:val="21"/>
        </w:rPr>
        <w:t>17</w:t>
      </w:r>
      <w:r w:rsidRPr="006913E9">
        <w:rPr>
          <w:rFonts w:hint="eastAsia"/>
          <w:szCs w:val="21"/>
        </w:rPr>
        <w:t>个收不抵支，缺口达</w:t>
      </w:r>
      <w:r w:rsidRPr="006913E9">
        <w:rPr>
          <w:rFonts w:hint="eastAsia"/>
          <w:szCs w:val="21"/>
        </w:rPr>
        <w:t>679</w:t>
      </w:r>
      <w:r w:rsidRPr="006913E9">
        <w:rPr>
          <w:rFonts w:hint="eastAsia"/>
          <w:szCs w:val="21"/>
        </w:rPr>
        <w:t>亿元；</w:t>
      </w:r>
      <w:r w:rsidRPr="006913E9">
        <w:rPr>
          <w:rFonts w:hint="eastAsia"/>
          <w:szCs w:val="21"/>
        </w:rPr>
        <w:t>2011</w:t>
      </w:r>
      <w:r w:rsidRPr="006913E9">
        <w:rPr>
          <w:rFonts w:hint="eastAsia"/>
          <w:szCs w:val="21"/>
        </w:rPr>
        <w:t>年收不抵支的省份虽然减少到</w:t>
      </w:r>
      <w:r w:rsidRPr="006913E9">
        <w:rPr>
          <w:rFonts w:hint="eastAsia"/>
          <w:szCs w:val="21"/>
        </w:rPr>
        <w:t>14</w:t>
      </w:r>
      <w:r w:rsidRPr="006913E9">
        <w:rPr>
          <w:rFonts w:hint="eastAsia"/>
          <w:szCs w:val="21"/>
        </w:rPr>
        <w:t>个，但收支缺口却高于</w:t>
      </w:r>
      <w:r w:rsidRPr="006913E9">
        <w:rPr>
          <w:rFonts w:hint="eastAsia"/>
          <w:szCs w:val="21"/>
        </w:rPr>
        <w:t>2010</w:t>
      </w:r>
      <w:r w:rsidRPr="006913E9">
        <w:rPr>
          <w:rFonts w:hint="eastAsia"/>
          <w:szCs w:val="21"/>
        </w:rPr>
        <w:t>年，</w:t>
      </w:r>
      <w:r w:rsidRPr="006913E9">
        <w:rPr>
          <w:rFonts w:hint="eastAsia"/>
          <w:szCs w:val="21"/>
        </w:rPr>
        <w:t>2011</w:t>
      </w:r>
      <w:r w:rsidRPr="006913E9">
        <w:rPr>
          <w:rFonts w:hint="eastAsia"/>
          <w:szCs w:val="21"/>
        </w:rPr>
        <w:t>年达</w:t>
      </w:r>
      <w:r w:rsidRPr="006913E9">
        <w:rPr>
          <w:rFonts w:hint="eastAsia"/>
          <w:szCs w:val="21"/>
        </w:rPr>
        <w:t>767</w:t>
      </w:r>
      <w:r w:rsidRPr="006913E9">
        <w:rPr>
          <w:rFonts w:hint="eastAsia"/>
          <w:szCs w:val="21"/>
        </w:rPr>
        <w:t>亿元。其中，辽宁和黑龙江的缺口均超过</w:t>
      </w:r>
      <w:r w:rsidRPr="006913E9">
        <w:rPr>
          <w:rFonts w:hint="eastAsia"/>
          <w:szCs w:val="21"/>
        </w:rPr>
        <w:t>100</w:t>
      </w:r>
      <w:r w:rsidRPr="006913E9">
        <w:rPr>
          <w:rFonts w:hint="eastAsia"/>
          <w:szCs w:val="21"/>
        </w:rPr>
        <w:t>亿元，天津、新疆兵团和吉林的缺口均在</w:t>
      </w:r>
      <w:r w:rsidRPr="006913E9">
        <w:rPr>
          <w:rFonts w:hint="eastAsia"/>
          <w:szCs w:val="21"/>
        </w:rPr>
        <w:t>50</w:t>
      </w:r>
      <w:r w:rsidRPr="006913E9">
        <w:rPr>
          <w:rFonts w:hint="eastAsia"/>
          <w:szCs w:val="21"/>
        </w:rPr>
        <w:t>亿</w:t>
      </w:r>
      <w:r w:rsidRPr="006913E9">
        <w:rPr>
          <w:rFonts w:hint="eastAsia"/>
          <w:szCs w:val="21"/>
        </w:rPr>
        <w:t>~100</w:t>
      </w:r>
      <w:r w:rsidRPr="006913E9">
        <w:rPr>
          <w:rFonts w:hint="eastAsia"/>
          <w:szCs w:val="21"/>
        </w:rPr>
        <w:t>亿元，河南、陕西、江西、湖南、广西、上海、海南和重庆的缺口均在</w:t>
      </w:r>
      <w:r w:rsidRPr="006913E9">
        <w:rPr>
          <w:rFonts w:hint="eastAsia"/>
          <w:szCs w:val="21"/>
        </w:rPr>
        <w:t>10</w:t>
      </w:r>
      <w:r w:rsidRPr="006913E9">
        <w:rPr>
          <w:rFonts w:hint="eastAsia"/>
          <w:szCs w:val="21"/>
        </w:rPr>
        <w:t>亿</w:t>
      </w:r>
      <w:r w:rsidRPr="006913E9">
        <w:rPr>
          <w:rFonts w:hint="eastAsia"/>
          <w:szCs w:val="21"/>
        </w:rPr>
        <w:t>~50</w:t>
      </w:r>
      <w:r w:rsidRPr="006913E9">
        <w:rPr>
          <w:rFonts w:hint="eastAsia"/>
          <w:szCs w:val="21"/>
        </w:rPr>
        <w:t>亿元，河北的缺口达</w:t>
      </w:r>
      <w:r w:rsidRPr="006913E9">
        <w:rPr>
          <w:rFonts w:hint="eastAsia"/>
          <w:szCs w:val="21"/>
        </w:rPr>
        <w:t>1.62</w:t>
      </w:r>
      <w:r w:rsidRPr="006913E9">
        <w:rPr>
          <w:rFonts w:hint="eastAsia"/>
          <w:szCs w:val="21"/>
        </w:rPr>
        <w:t>亿元；在</w:t>
      </w:r>
      <w:r w:rsidRPr="006913E9">
        <w:rPr>
          <w:rFonts w:hint="eastAsia"/>
          <w:szCs w:val="21"/>
        </w:rPr>
        <w:t>18</w:t>
      </w:r>
      <w:r w:rsidRPr="006913E9">
        <w:rPr>
          <w:rFonts w:hint="eastAsia"/>
          <w:szCs w:val="21"/>
        </w:rPr>
        <w:t>个征缴收人大于支出的省份中，广东仍高达</w:t>
      </w:r>
      <w:r w:rsidRPr="006913E9">
        <w:rPr>
          <w:rFonts w:hint="eastAsia"/>
          <w:szCs w:val="21"/>
        </w:rPr>
        <w:t>519</w:t>
      </w:r>
      <w:r w:rsidRPr="006913E9">
        <w:rPr>
          <w:rFonts w:hint="eastAsia"/>
          <w:szCs w:val="21"/>
        </w:rPr>
        <w:t>亿元，浙江、江苏、北京和山东也在</w:t>
      </w:r>
      <w:r w:rsidRPr="006913E9">
        <w:rPr>
          <w:rFonts w:hint="eastAsia"/>
          <w:szCs w:val="21"/>
        </w:rPr>
        <w:t>200</w:t>
      </w:r>
      <w:r w:rsidRPr="006913E9">
        <w:rPr>
          <w:rFonts w:hint="eastAsia"/>
          <w:szCs w:val="21"/>
        </w:rPr>
        <w:t>亿</w:t>
      </w:r>
      <w:r w:rsidRPr="006913E9">
        <w:rPr>
          <w:rFonts w:hint="eastAsia"/>
          <w:szCs w:val="21"/>
        </w:rPr>
        <w:t>~300</w:t>
      </w:r>
      <w:r w:rsidRPr="006913E9">
        <w:rPr>
          <w:rFonts w:hint="eastAsia"/>
          <w:szCs w:val="21"/>
        </w:rPr>
        <w:t>亿元。</w:t>
      </w:r>
    </w:p>
    <w:p w:rsidR="006913E9" w:rsidRPr="006913E9" w:rsidRDefault="006913E9" w:rsidP="006913E9">
      <w:pPr>
        <w:rPr>
          <w:rFonts w:hint="eastAsia"/>
          <w:szCs w:val="21"/>
        </w:rPr>
      </w:pPr>
      <w:r w:rsidRPr="006913E9">
        <w:rPr>
          <w:rFonts w:hint="eastAsia"/>
          <w:szCs w:val="21"/>
        </w:rPr>
        <w:t xml:space="preserve">  </w:t>
      </w:r>
      <w:r w:rsidR="005E4DA7">
        <w:rPr>
          <w:rFonts w:hint="eastAsia"/>
          <w:szCs w:val="21"/>
        </w:rPr>
        <w:t xml:space="preserve">  </w:t>
      </w:r>
      <w:r w:rsidRPr="006913E9">
        <w:rPr>
          <w:rFonts w:hint="eastAsia"/>
          <w:szCs w:val="21"/>
        </w:rPr>
        <w:t>二、从”养老金发展指数”看，“多层次”和“可持续”仍是改革的重点</w:t>
      </w:r>
    </w:p>
    <w:p w:rsidR="006913E9" w:rsidRPr="006913E9" w:rsidRDefault="006913E9" w:rsidP="006913E9">
      <w:pPr>
        <w:rPr>
          <w:rFonts w:hint="eastAsia"/>
          <w:szCs w:val="21"/>
        </w:rPr>
      </w:pPr>
      <w:r w:rsidRPr="006913E9">
        <w:rPr>
          <w:rFonts w:hint="eastAsia"/>
          <w:szCs w:val="21"/>
        </w:rPr>
        <w:t xml:space="preserve">    </w:t>
      </w:r>
      <w:r w:rsidRPr="006913E9">
        <w:rPr>
          <w:rFonts w:hint="eastAsia"/>
          <w:szCs w:val="21"/>
        </w:rPr>
        <w:t>中央确定的“广覆盖、保基本、多层次、可持续”的“十二字”方针是当前中国社会保障制度建设的基本原则。为了更好地贯彻执行“十二”字方针，我们将其拆分和量化，据此设计出一套“养老金发展指标体系”，在这套指标体系基础之上开发出“中国养老金发展指数”，拟定期发布。</w:t>
      </w:r>
    </w:p>
    <w:p w:rsidR="006B79D8" w:rsidRPr="006913E9" w:rsidRDefault="006913E9" w:rsidP="006913E9">
      <w:pPr>
        <w:rPr>
          <w:szCs w:val="21"/>
        </w:rPr>
      </w:pPr>
      <w:r w:rsidRPr="006913E9">
        <w:rPr>
          <w:rFonts w:hint="eastAsia"/>
          <w:szCs w:val="21"/>
        </w:rPr>
        <w:lastRenderedPageBreak/>
        <w:t xml:space="preserve">    </w:t>
      </w:r>
      <w:r w:rsidRPr="006913E9">
        <w:rPr>
          <w:rFonts w:hint="eastAsia"/>
          <w:szCs w:val="21"/>
        </w:rPr>
        <w:t>我们之所以开发和发布“养老金发展指数”，其目的</w:t>
      </w:r>
    </w:p>
    <w:sectPr w:rsidR="006B79D8" w:rsidRPr="006913E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5115" w:rsidRDefault="006C5115" w:rsidP="006C5115">
      <w:r>
        <w:separator/>
      </w:r>
    </w:p>
  </w:endnote>
  <w:endnote w:type="continuationSeparator" w:id="0">
    <w:p w:rsidR="006C5115" w:rsidRDefault="006C5115" w:rsidP="006C5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5115" w:rsidRDefault="006C5115" w:rsidP="006C5115">
      <w:r>
        <w:separator/>
      </w:r>
    </w:p>
  </w:footnote>
  <w:footnote w:type="continuationSeparator" w:id="0">
    <w:p w:rsidR="006C5115" w:rsidRDefault="006C5115" w:rsidP="006C51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11D1"/>
    <w:rsid w:val="0001572D"/>
    <w:rsid w:val="000E38B1"/>
    <w:rsid w:val="000F75CA"/>
    <w:rsid w:val="001B4989"/>
    <w:rsid w:val="00303D97"/>
    <w:rsid w:val="00497ADA"/>
    <w:rsid w:val="005E4DA7"/>
    <w:rsid w:val="00664125"/>
    <w:rsid w:val="006913E9"/>
    <w:rsid w:val="006B69F2"/>
    <w:rsid w:val="006B79D8"/>
    <w:rsid w:val="006C5115"/>
    <w:rsid w:val="006F49F9"/>
    <w:rsid w:val="007F739C"/>
    <w:rsid w:val="00964591"/>
    <w:rsid w:val="009B11D1"/>
    <w:rsid w:val="00A706CE"/>
    <w:rsid w:val="00B220AD"/>
    <w:rsid w:val="00B22836"/>
    <w:rsid w:val="00C136FE"/>
    <w:rsid w:val="00D11585"/>
    <w:rsid w:val="00D20B6F"/>
    <w:rsid w:val="00D22384"/>
    <w:rsid w:val="00DE3CFD"/>
    <w:rsid w:val="00DF00C3"/>
    <w:rsid w:val="00E8655A"/>
    <w:rsid w:val="00EF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946E433-2848-4E95-95F9-59DC8CCDE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6B69F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6C511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6C5115"/>
    <w:rPr>
      <w:kern w:val="2"/>
      <w:sz w:val="18"/>
      <w:szCs w:val="18"/>
    </w:rPr>
  </w:style>
  <w:style w:type="paragraph" w:styleId="a6">
    <w:name w:val="footer"/>
    <w:basedOn w:val="a"/>
    <w:link w:val="a7"/>
    <w:rsid w:val="006C5115"/>
    <w:pPr>
      <w:tabs>
        <w:tab w:val="center" w:pos="4153"/>
        <w:tab w:val="right" w:pos="8306"/>
      </w:tabs>
      <w:snapToGrid w:val="0"/>
      <w:jc w:val="left"/>
    </w:pPr>
    <w:rPr>
      <w:sz w:val="18"/>
      <w:szCs w:val="18"/>
    </w:rPr>
  </w:style>
  <w:style w:type="character" w:customStyle="1" w:styleId="a7">
    <w:name w:val="页脚 字符"/>
    <w:basedOn w:val="a0"/>
    <w:link w:val="a6"/>
    <w:rsid w:val="006C51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比2010年提高了3 25个百分点；从比重上看，其他各种经济类型企业和港澳台外资企业的参保人数首次超过国有企业参保人数，这标志着参保状况发生结构性变化</dc:title>
  <dc:subject/>
  <dc:creator>hp</dc:creator>
  <cp:keywords/>
  <cp:lastModifiedBy>亦哲君</cp:lastModifiedBy>
  <cp:revision>2</cp:revision>
  <dcterms:created xsi:type="dcterms:W3CDTF">2025-03-30T12:49:00Z</dcterms:created>
  <dcterms:modified xsi:type="dcterms:W3CDTF">2025-03-30T12:49:00Z</dcterms:modified>
</cp:coreProperties>
</file>