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439D" w:rsidRDefault="00F76E52" w:rsidP="0012439D">
      <w:pPr>
        <w:jc w:val="center"/>
        <w:rPr>
          <w:rFonts w:hint="eastAsia"/>
          <w:sz w:val="18"/>
          <w:szCs w:val="18"/>
        </w:rPr>
      </w:pPr>
      <w:bookmarkStart w:id="0" w:name="_GoBack"/>
      <w:bookmarkEnd w:id="0"/>
      <w:r w:rsidRPr="0032010D">
        <w:rPr>
          <w:rFonts w:hint="eastAsia"/>
          <w:sz w:val="18"/>
          <w:szCs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9.85pt;height:121.2pt">
            <v:imagedata r:id="rId6" o:title="扫描0010_副本"/>
          </v:shape>
        </w:pict>
      </w:r>
    </w:p>
    <w:p w:rsidR="0012439D" w:rsidRPr="0012439D" w:rsidRDefault="0012439D" w:rsidP="0012439D">
      <w:pPr>
        <w:jc w:val="center"/>
        <w:rPr>
          <w:rFonts w:hint="eastAsia"/>
          <w:sz w:val="18"/>
          <w:szCs w:val="18"/>
        </w:rPr>
      </w:pPr>
      <w:r w:rsidRPr="0012439D">
        <w:rPr>
          <w:rFonts w:hint="eastAsia"/>
          <w:sz w:val="18"/>
          <w:szCs w:val="18"/>
        </w:rPr>
        <w:t>图</w:t>
      </w:r>
      <w:r w:rsidRPr="0012439D">
        <w:rPr>
          <w:rFonts w:hint="eastAsia"/>
          <w:sz w:val="18"/>
          <w:szCs w:val="18"/>
        </w:rPr>
        <w:t xml:space="preserve">6 </w:t>
      </w:r>
      <w:r>
        <w:rPr>
          <w:rFonts w:hint="eastAsia"/>
          <w:sz w:val="18"/>
          <w:szCs w:val="18"/>
        </w:rPr>
        <w:t xml:space="preserve"> </w:t>
      </w:r>
      <w:r w:rsidRPr="0012439D">
        <w:rPr>
          <w:rFonts w:hint="eastAsia"/>
          <w:sz w:val="18"/>
          <w:szCs w:val="18"/>
        </w:rPr>
        <w:t xml:space="preserve"> 2011</w:t>
      </w:r>
      <w:r w:rsidRPr="0012439D">
        <w:rPr>
          <w:rFonts w:hint="eastAsia"/>
          <w:sz w:val="18"/>
          <w:szCs w:val="18"/>
        </w:rPr>
        <w:t>年底个人账户数和份额（万个）在各账户管理人之间的分布</w:t>
      </w:r>
    </w:p>
    <w:p w:rsidR="0012439D" w:rsidRPr="0012439D" w:rsidRDefault="0012439D" w:rsidP="0012439D">
      <w:pPr>
        <w:rPr>
          <w:rFonts w:hint="eastAsia"/>
          <w:sz w:val="18"/>
          <w:szCs w:val="18"/>
        </w:rPr>
      </w:pPr>
      <w:r w:rsidRPr="0012439D">
        <w:rPr>
          <w:rFonts w:hint="eastAsia"/>
          <w:sz w:val="18"/>
          <w:szCs w:val="18"/>
        </w:rPr>
        <w:t>资料来源：由人力资源和社会保障部提供。</w:t>
      </w:r>
    </w:p>
    <w:p w:rsidR="0082639A" w:rsidRDefault="0012439D" w:rsidP="0012439D">
      <w:pPr>
        <w:rPr>
          <w:rFonts w:hint="eastAsia"/>
        </w:rPr>
      </w:pPr>
      <w:r>
        <w:rPr>
          <w:rFonts w:hint="eastAsia"/>
        </w:rPr>
        <w:t xml:space="preserve">    </w:t>
      </w:r>
    </w:p>
    <w:p w:rsidR="0012439D" w:rsidRDefault="0012439D" w:rsidP="0012439D">
      <w:pPr>
        <w:rPr>
          <w:rFonts w:hint="eastAsia"/>
        </w:rPr>
      </w:pPr>
      <w:r>
        <w:rPr>
          <w:rFonts w:hint="eastAsia"/>
        </w:rPr>
        <w:t>(</w:t>
      </w:r>
      <w:r>
        <w:rPr>
          <w:rFonts w:hint="eastAsia"/>
        </w:rPr>
        <w:t>二</w:t>
      </w:r>
      <w:r>
        <w:rPr>
          <w:rFonts w:hint="eastAsia"/>
        </w:rPr>
        <w:t>)</w:t>
      </w:r>
      <w:r>
        <w:rPr>
          <w:rFonts w:hint="eastAsia"/>
        </w:rPr>
        <w:t>市场分析</w:t>
      </w:r>
    </w:p>
    <w:p w:rsidR="0012439D" w:rsidRDefault="0012439D" w:rsidP="0012439D">
      <w:pPr>
        <w:rPr>
          <w:rFonts w:hint="eastAsia"/>
        </w:rPr>
      </w:pPr>
      <w:r>
        <w:rPr>
          <w:rFonts w:hint="eastAsia"/>
        </w:rPr>
        <w:t xml:space="preserve">    </w:t>
      </w:r>
      <w:r>
        <w:rPr>
          <w:rFonts w:hint="eastAsia"/>
        </w:rPr>
        <w:t>总体来看，</w:t>
      </w:r>
      <w:r>
        <w:rPr>
          <w:rFonts w:hint="eastAsia"/>
        </w:rPr>
        <w:t>201 1</w:t>
      </w:r>
      <w:r>
        <w:rPr>
          <w:rFonts w:hint="eastAsia"/>
        </w:rPr>
        <w:t>年企业年金基金账户管理市场继续保持较快的发展速度，全部管理人管理的企业账户数和个人账户数比</w:t>
      </w:r>
      <w:r>
        <w:rPr>
          <w:rFonts w:hint="eastAsia"/>
        </w:rPr>
        <w:t>2010</w:t>
      </w:r>
      <w:r>
        <w:rPr>
          <w:rFonts w:hint="eastAsia"/>
        </w:rPr>
        <w:t>年分别增加了</w:t>
      </w:r>
      <w:r>
        <w:rPr>
          <w:rFonts w:hint="eastAsia"/>
        </w:rPr>
        <w:t>7890</w:t>
      </w:r>
      <w:r>
        <w:rPr>
          <w:rFonts w:hint="eastAsia"/>
        </w:rPr>
        <w:t>个和</w:t>
      </w:r>
      <w:r>
        <w:rPr>
          <w:rFonts w:hint="eastAsia"/>
        </w:rPr>
        <w:t>241.94</w:t>
      </w:r>
      <w:r>
        <w:rPr>
          <w:rFonts w:hint="eastAsia"/>
        </w:rPr>
        <w:t>万个，增长幅度相应为</w:t>
      </w:r>
      <w:r>
        <w:rPr>
          <w:rFonts w:hint="eastAsia"/>
        </w:rPr>
        <w:t>21.29%</w:t>
      </w:r>
      <w:r>
        <w:rPr>
          <w:rFonts w:hint="eastAsia"/>
        </w:rPr>
        <w:t>和</w:t>
      </w:r>
      <w:r>
        <w:rPr>
          <w:rFonts w:hint="eastAsia"/>
        </w:rPr>
        <w:t>18.13%</w:t>
      </w:r>
      <w:r>
        <w:rPr>
          <w:rFonts w:hint="eastAsia"/>
        </w:rPr>
        <w:t>。总的来看，各家管理人市场份额和排名基本变化不大。</w:t>
      </w:r>
    </w:p>
    <w:p w:rsidR="0012439D" w:rsidRDefault="0012439D" w:rsidP="0012439D">
      <w:pPr>
        <w:rPr>
          <w:rFonts w:hint="eastAsia"/>
        </w:rPr>
      </w:pPr>
      <w:r>
        <w:rPr>
          <w:rFonts w:hint="eastAsia"/>
        </w:rPr>
        <w:t xml:space="preserve">    1</w:t>
      </w:r>
      <w:r>
        <w:rPr>
          <w:rFonts w:hint="eastAsia"/>
        </w:rPr>
        <w:t>．账户管理的企业数量</w:t>
      </w:r>
    </w:p>
    <w:p w:rsidR="0012439D" w:rsidRDefault="0012439D" w:rsidP="0012439D">
      <w:pPr>
        <w:rPr>
          <w:rFonts w:hint="eastAsia"/>
        </w:rPr>
      </w:pPr>
      <w:r>
        <w:rPr>
          <w:rFonts w:hint="eastAsia"/>
        </w:rPr>
        <w:t xml:space="preserve">    </w:t>
      </w:r>
      <w:r>
        <w:rPr>
          <w:rFonts w:hint="eastAsia"/>
        </w:rPr>
        <w:t>从各账户管理人管理的企业账户数来看，</w:t>
      </w:r>
      <w:r>
        <w:rPr>
          <w:rFonts w:hint="eastAsia"/>
        </w:rPr>
        <w:t>2011</w:t>
      </w:r>
      <w:r>
        <w:rPr>
          <w:rFonts w:hint="eastAsia"/>
        </w:rPr>
        <w:t>年排名第</w:t>
      </w:r>
      <w:r>
        <w:rPr>
          <w:rFonts w:hint="eastAsia"/>
        </w:rPr>
        <w:t>1</w:t>
      </w:r>
      <w:r>
        <w:rPr>
          <w:rFonts w:hint="eastAsia"/>
        </w:rPr>
        <w:t>位的中国工商银行股份有限公司依然取得了较好的成绩，管理的企业账户数增加了</w:t>
      </w:r>
      <w:r>
        <w:rPr>
          <w:rFonts w:hint="eastAsia"/>
        </w:rPr>
        <w:t>4299</w:t>
      </w:r>
      <w:r>
        <w:rPr>
          <w:rFonts w:hint="eastAsia"/>
        </w:rPr>
        <w:t>个，增长幅度为</w:t>
      </w:r>
      <w:r>
        <w:rPr>
          <w:rFonts w:hint="eastAsia"/>
        </w:rPr>
        <w:t>27.33%</w:t>
      </w:r>
      <w:r>
        <w:rPr>
          <w:rFonts w:hint="eastAsia"/>
        </w:rPr>
        <w:t>。</w:t>
      </w:r>
      <w:r>
        <w:rPr>
          <w:rFonts w:hint="eastAsia"/>
        </w:rPr>
        <w:t>2011</w:t>
      </w:r>
      <w:r>
        <w:rPr>
          <w:rFonts w:hint="eastAsia"/>
        </w:rPr>
        <w:t>年排名第</w:t>
      </w:r>
      <w:r>
        <w:rPr>
          <w:rFonts w:hint="eastAsia"/>
        </w:rPr>
        <w:t>2</w:t>
      </w:r>
      <w:r>
        <w:rPr>
          <w:rFonts w:hint="eastAsia"/>
        </w:rPr>
        <w:t>位的长江养老保险股份有限公司与</w:t>
      </w:r>
      <w:r>
        <w:rPr>
          <w:rFonts w:hint="eastAsia"/>
        </w:rPr>
        <w:t>2010</w:t>
      </w:r>
      <w:r>
        <w:rPr>
          <w:rFonts w:hint="eastAsia"/>
        </w:rPr>
        <w:t>年的名次虽然没有变化，但增长幅度非常有限，管理的企业账户数只增加了</w:t>
      </w:r>
      <w:r>
        <w:rPr>
          <w:rFonts w:hint="eastAsia"/>
        </w:rPr>
        <w:t>130</w:t>
      </w:r>
      <w:r>
        <w:rPr>
          <w:rFonts w:hint="eastAsia"/>
        </w:rPr>
        <w:t>个，增幅为</w:t>
      </w:r>
      <w:r>
        <w:rPr>
          <w:rFonts w:hint="eastAsia"/>
        </w:rPr>
        <w:t>2.36%</w:t>
      </w:r>
      <w:r>
        <w:rPr>
          <w:rFonts w:hint="eastAsia"/>
        </w:rPr>
        <w:t>。</w:t>
      </w:r>
      <w:r>
        <w:rPr>
          <w:rFonts w:hint="eastAsia"/>
        </w:rPr>
        <w:t>2011</w:t>
      </w:r>
      <w:r>
        <w:rPr>
          <w:rFonts w:hint="eastAsia"/>
        </w:rPr>
        <w:t>年排名第</w:t>
      </w:r>
      <w:r>
        <w:rPr>
          <w:rFonts w:hint="eastAsia"/>
        </w:rPr>
        <w:t>3</w:t>
      </w:r>
      <w:r>
        <w:rPr>
          <w:rFonts w:hint="eastAsia"/>
        </w:rPr>
        <w:t>位和第</w:t>
      </w:r>
      <w:r>
        <w:rPr>
          <w:rFonts w:hint="eastAsia"/>
        </w:rPr>
        <w:t>4</w:t>
      </w:r>
      <w:r>
        <w:rPr>
          <w:rFonts w:hint="eastAsia"/>
        </w:rPr>
        <w:t>位的中国银行股份有限公司和中国建设银行股份有限公司都取得非常显著的成绩，分别比</w:t>
      </w:r>
      <w:r>
        <w:rPr>
          <w:rFonts w:hint="eastAsia"/>
        </w:rPr>
        <w:t>2010</w:t>
      </w:r>
      <w:r>
        <w:rPr>
          <w:rFonts w:hint="eastAsia"/>
        </w:rPr>
        <w:t>年增长了</w:t>
      </w:r>
      <w:r>
        <w:rPr>
          <w:rFonts w:hint="eastAsia"/>
        </w:rPr>
        <w:t>1281</w:t>
      </w:r>
      <w:r>
        <w:rPr>
          <w:rFonts w:hint="eastAsia"/>
        </w:rPr>
        <w:t>个和</w:t>
      </w:r>
      <w:r>
        <w:rPr>
          <w:rFonts w:hint="eastAsia"/>
        </w:rPr>
        <w:t>988</w:t>
      </w:r>
      <w:r>
        <w:rPr>
          <w:rFonts w:hint="eastAsia"/>
        </w:rPr>
        <w:t>个，增幅也分别达到了</w:t>
      </w:r>
      <w:r>
        <w:rPr>
          <w:rFonts w:hint="eastAsia"/>
        </w:rPr>
        <w:t>43.34%</w:t>
      </w:r>
      <w:r>
        <w:rPr>
          <w:rFonts w:hint="eastAsia"/>
        </w:rPr>
        <w:t>和</w:t>
      </w:r>
      <w:r>
        <w:rPr>
          <w:rFonts w:hint="eastAsia"/>
        </w:rPr>
        <w:t>32.70%</w:t>
      </w:r>
      <w:r>
        <w:rPr>
          <w:rFonts w:hint="eastAsia"/>
        </w:rPr>
        <w:t>。交通银行股份有限公司在</w:t>
      </w:r>
      <w:r>
        <w:rPr>
          <w:rFonts w:hint="eastAsia"/>
        </w:rPr>
        <w:t>2011</w:t>
      </w:r>
      <w:r>
        <w:rPr>
          <w:rFonts w:hint="eastAsia"/>
        </w:rPr>
        <w:t>年管理的企业账户数只是略有增长，仅增加了</w:t>
      </w:r>
      <w:r>
        <w:rPr>
          <w:rFonts w:hint="eastAsia"/>
        </w:rPr>
        <w:t>143</w:t>
      </w:r>
      <w:r>
        <w:rPr>
          <w:rFonts w:hint="eastAsia"/>
        </w:rPr>
        <w:t>个，增幅也只为</w:t>
      </w:r>
      <w:r>
        <w:rPr>
          <w:rFonts w:hint="eastAsia"/>
        </w:rPr>
        <w:t>5.18%</w:t>
      </w:r>
      <w:r>
        <w:rPr>
          <w:rFonts w:hint="eastAsia"/>
        </w:rPr>
        <w:t>。此外，</w:t>
      </w:r>
      <w:r>
        <w:rPr>
          <w:rFonts w:hint="eastAsia"/>
        </w:rPr>
        <w:t>2011</w:t>
      </w:r>
      <w:r>
        <w:rPr>
          <w:rFonts w:hint="eastAsia"/>
        </w:rPr>
        <w:t>年市场份额出现显著增加的管理人有中国人寿养老保险股份有限公司、中国民生银行股份有限公司和上海浦东发展银行股份有限公司，增长幅度分别为</w:t>
      </w:r>
      <w:r>
        <w:rPr>
          <w:rFonts w:hint="eastAsia"/>
        </w:rPr>
        <w:t>101.11%</w:t>
      </w:r>
      <w:r>
        <w:rPr>
          <w:rFonts w:hint="eastAsia"/>
        </w:rPr>
        <w:t>、</w:t>
      </w:r>
      <w:r>
        <w:rPr>
          <w:rFonts w:hint="eastAsia"/>
        </w:rPr>
        <w:t>89.72%</w:t>
      </w:r>
      <w:r>
        <w:rPr>
          <w:rFonts w:hint="eastAsia"/>
        </w:rPr>
        <w:t>和</w:t>
      </w:r>
      <w:r>
        <w:rPr>
          <w:rFonts w:hint="eastAsia"/>
        </w:rPr>
        <w:t>69.03%</w:t>
      </w:r>
      <w:r>
        <w:rPr>
          <w:rFonts w:hint="eastAsia"/>
        </w:rPr>
        <w:t>。相比之下，</w:t>
      </w:r>
      <w:r>
        <w:rPr>
          <w:rFonts w:hint="eastAsia"/>
        </w:rPr>
        <w:t>2011</w:t>
      </w:r>
      <w:r>
        <w:rPr>
          <w:rFonts w:hint="eastAsia"/>
        </w:rPr>
        <w:t>年市场份额出现明显下降的管理人有招商银行股份有限公司和新华人寿保险股份有限公司，增长幅度分别为</w:t>
      </w:r>
      <w:r>
        <w:rPr>
          <w:rFonts w:hint="eastAsia"/>
        </w:rPr>
        <w:t>-21.72%</w:t>
      </w:r>
      <w:r>
        <w:rPr>
          <w:rFonts w:hint="eastAsia"/>
        </w:rPr>
        <w:t>和</w:t>
      </w:r>
      <w:r>
        <w:rPr>
          <w:rFonts w:hint="eastAsia"/>
        </w:rPr>
        <w:t>-2.83%</w:t>
      </w:r>
      <w:r>
        <w:rPr>
          <w:rFonts w:hint="eastAsia"/>
        </w:rPr>
        <w:t>。</w:t>
      </w:r>
    </w:p>
    <w:p w:rsidR="0012439D" w:rsidRDefault="0012439D" w:rsidP="0012439D">
      <w:pPr>
        <w:rPr>
          <w:rFonts w:hint="eastAsia"/>
        </w:rPr>
      </w:pPr>
      <w:r>
        <w:rPr>
          <w:rFonts w:hint="eastAsia"/>
        </w:rPr>
        <w:t xml:space="preserve">    2</w:t>
      </w:r>
      <w:r>
        <w:rPr>
          <w:rFonts w:hint="eastAsia"/>
        </w:rPr>
        <w:t>．账户管理的职工数量</w:t>
      </w:r>
    </w:p>
    <w:p w:rsidR="00D86CF8" w:rsidRDefault="0012439D" w:rsidP="00D86CF8">
      <w:pPr>
        <w:ind w:firstLine="435"/>
        <w:rPr>
          <w:rFonts w:hint="eastAsia"/>
        </w:rPr>
      </w:pPr>
      <w:r>
        <w:rPr>
          <w:rFonts w:hint="eastAsia"/>
        </w:rPr>
        <w:t>从各账户管理人管理的个人账户数来分析，</w:t>
      </w:r>
      <w:r>
        <w:rPr>
          <w:rFonts w:hint="eastAsia"/>
        </w:rPr>
        <w:t>2011</w:t>
      </w:r>
      <w:r>
        <w:rPr>
          <w:rFonts w:hint="eastAsia"/>
        </w:rPr>
        <w:t>年市场排名前</w:t>
      </w:r>
      <w:r>
        <w:rPr>
          <w:rFonts w:hint="eastAsia"/>
        </w:rPr>
        <w:t>5</w:t>
      </w:r>
      <w:r>
        <w:rPr>
          <w:rFonts w:hint="eastAsia"/>
        </w:rPr>
        <w:t>位的管理人依次为中国工商银行股份有限公司、中国建设银行股份有限公司、招商银行股份有限公司、中国银行股份有限公司和交通银行股份有限公司。其中，排名前</w:t>
      </w:r>
      <w:r>
        <w:rPr>
          <w:rFonts w:hint="eastAsia"/>
        </w:rPr>
        <w:t>4</w:t>
      </w:r>
      <w:r>
        <w:rPr>
          <w:rFonts w:hint="eastAsia"/>
        </w:rPr>
        <w:t>位的管理人和</w:t>
      </w:r>
      <w:r>
        <w:rPr>
          <w:rFonts w:hint="eastAsia"/>
        </w:rPr>
        <w:t>2010</w:t>
      </w:r>
      <w:r>
        <w:rPr>
          <w:rFonts w:hint="eastAsia"/>
        </w:rPr>
        <w:t>年完全一致；</w:t>
      </w:r>
      <w:r>
        <w:rPr>
          <w:rFonts w:hint="eastAsia"/>
        </w:rPr>
        <w:t>2010</w:t>
      </w:r>
      <w:r>
        <w:rPr>
          <w:rFonts w:hint="eastAsia"/>
        </w:rPr>
        <w:t>年市场排名第</w:t>
      </w:r>
      <w:r>
        <w:rPr>
          <w:rFonts w:hint="eastAsia"/>
        </w:rPr>
        <w:t>5</w:t>
      </w:r>
      <w:r>
        <w:rPr>
          <w:rFonts w:hint="eastAsia"/>
        </w:rPr>
        <w:t>位的长江养老保险股份有限公司管理个人账户数在</w:t>
      </w:r>
      <w:r>
        <w:rPr>
          <w:rFonts w:hint="eastAsia"/>
        </w:rPr>
        <w:t>2011</w:t>
      </w:r>
      <w:r>
        <w:rPr>
          <w:rFonts w:hint="eastAsia"/>
        </w:rPr>
        <w:t>年只增加了</w:t>
      </w:r>
      <w:r>
        <w:rPr>
          <w:rFonts w:hint="eastAsia"/>
        </w:rPr>
        <w:t>4.59</w:t>
      </w:r>
      <w:r>
        <w:rPr>
          <w:rFonts w:hint="eastAsia"/>
        </w:rPr>
        <w:t>万个，增长幅度仅为</w:t>
      </w:r>
      <w:r>
        <w:rPr>
          <w:rFonts w:hint="eastAsia"/>
        </w:rPr>
        <w:t>6.38%</w:t>
      </w:r>
      <w:r w:rsidR="0082639A">
        <w:rPr>
          <w:rFonts w:hint="eastAsia"/>
        </w:rPr>
        <w:t>，</w:t>
      </w:r>
      <w:r>
        <w:rPr>
          <w:rFonts w:hint="eastAsia"/>
        </w:rPr>
        <w:t>2011</w:t>
      </w:r>
      <w:r>
        <w:rPr>
          <w:rFonts w:hint="eastAsia"/>
        </w:rPr>
        <w:t>年被挤出市场前</w:t>
      </w:r>
      <w:r>
        <w:rPr>
          <w:rFonts w:hint="eastAsia"/>
        </w:rPr>
        <w:t>5</w:t>
      </w:r>
      <w:r>
        <w:rPr>
          <w:rFonts w:hint="eastAsia"/>
        </w:rPr>
        <w:t>位。另外，市场排名靠后的中国民生银行股份有限公司管理的个人账户数增加了</w:t>
      </w:r>
      <w:r>
        <w:rPr>
          <w:rFonts w:hint="eastAsia"/>
        </w:rPr>
        <w:t>4</w:t>
      </w:r>
      <w:r w:rsidR="0082639A">
        <w:rPr>
          <w:rFonts w:hint="eastAsia"/>
        </w:rPr>
        <w:t>.</w:t>
      </w:r>
      <w:r>
        <w:rPr>
          <w:rFonts w:hint="eastAsia"/>
        </w:rPr>
        <w:t>52</w:t>
      </w:r>
      <w:r>
        <w:rPr>
          <w:rFonts w:hint="eastAsia"/>
        </w:rPr>
        <w:t>万个，由于基数较小，因此取得了高达</w:t>
      </w:r>
      <w:r>
        <w:rPr>
          <w:rFonts w:hint="eastAsia"/>
        </w:rPr>
        <w:t>73.50%</w:t>
      </w:r>
      <w:r>
        <w:rPr>
          <w:rFonts w:hint="eastAsia"/>
        </w:rPr>
        <w:t>的增长幅度。与之对比，</w:t>
      </w:r>
      <w:r>
        <w:rPr>
          <w:rFonts w:hint="eastAsia"/>
        </w:rPr>
        <w:t>2011</w:t>
      </w:r>
      <w:r>
        <w:rPr>
          <w:rFonts w:hint="eastAsia"/>
        </w:rPr>
        <w:t>年同样市场排名靠后的新华人寿保险股份有限公司市场份额出现了明显下降，管理的个人账户数比</w:t>
      </w:r>
      <w:r>
        <w:rPr>
          <w:rFonts w:hint="eastAsia"/>
        </w:rPr>
        <w:t>2010</w:t>
      </w:r>
      <w:r>
        <w:rPr>
          <w:rFonts w:hint="eastAsia"/>
        </w:rPr>
        <w:t>年下降了</w:t>
      </w:r>
      <w:r>
        <w:rPr>
          <w:rFonts w:hint="eastAsia"/>
        </w:rPr>
        <w:t>0.45</w:t>
      </w:r>
      <w:r>
        <w:rPr>
          <w:rFonts w:hint="eastAsia"/>
        </w:rPr>
        <w:t>万个，变化幅度为</w:t>
      </w:r>
      <w:r>
        <w:rPr>
          <w:rFonts w:hint="eastAsia"/>
        </w:rPr>
        <w:t>-23.68%</w:t>
      </w:r>
      <w:r>
        <w:rPr>
          <w:rFonts w:hint="eastAsia"/>
        </w:rPr>
        <w:t>（见表</w:t>
      </w:r>
      <w:r>
        <w:rPr>
          <w:rFonts w:hint="eastAsia"/>
        </w:rPr>
        <w:t>6</w:t>
      </w:r>
      <w:r>
        <w:rPr>
          <w:rFonts w:hint="eastAsia"/>
        </w:rPr>
        <w:t>）。</w:t>
      </w:r>
    </w:p>
    <w:p w:rsidR="00EF7769" w:rsidRDefault="0012439D" w:rsidP="00D86CF8">
      <w:pPr>
        <w:jc w:val="center"/>
        <w:rPr>
          <w:rFonts w:hint="eastAsia"/>
          <w:sz w:val="18"/>
          <w:szCs w:val="18"/>
        </w:rPr>
      </w:pPr>
      <w:r w:rsidRPr="00D86CF8">
        <w:rPr>
          <w:rFonts w:hint="eastAsia"/>
          <w:sz w:val="18"/>
          <w:szCs w:val="18"/>
        </w:rPr>
        <w:t>表</w:t>
      </w:r>
      <w:r w:rsidRPr="00D86CF8">
        <w:rPr>
          <w:rFonts w:hint="eastAsia"/>
          <w:sz w:val="18"/>
          <w:szCs w:val="18"/>
        </w:rPr>
        <w:t>6    2011</w:t>
      </w:r>
      <w:r w:rsidRPr="00D86CF8">
        <w:rPr>
          <w:rFonts w:hint="eastAsia"/>
          <w:sz w:val="18"/>
          <w:szCs w:val="18"/>
        </w:rPr>
        <w:t>年底企业年金基金账户管理市场的动态变化</w:t>
      </w:r>
    </w:p>
    <w:tbl>
      <w:tblPr>
        <w:tblStyle w:val="a3"/>
        <w:tblW w:w="0" w:type="auto"/>
        <w:jc w:val="center"/>
        <w:tblLook w:val="01E0" w:firstRow="1" w:lastRow="1" w:firstColumn="1" w:lastColumn="1" w:noHBand="0" w:noVBand="0"/>
      </w:tblPr>
      <w:tblGrid>
        <w:gridCol w:w="2584"/>
        <w:gridCol w:w="947"/>
        <w:gridCol w:w="947"/>
        <w:gridCol w:w="947"/>
        <w:gridCol w:w="947"/>
        <w:gridCol w:w="947"/>
        <w:gridCol w:w="947"/>
        <w:gridCol w:w="947"/>
        <w:gridCol w:w="947"/>
      </w:tblGrid>
      <w:tr w:rsidR="00673BC2" w:rsidTr="004F3A1C">
        <w:trPr>
          <w:jc w:val="center"/>
        </w:trPr>
        <w:tc>
          <w:tcPr>
            <w:tcW w:w="2584" w:type="dxa"/>
            <w:vMerge w:val="restart"/>
            <w:vAlign w:val="center"/>
          </w:tcPr>
          <w:p w:rsidR="00673BC2" w:rsidRDefault="00427932" w:rsidP="00427932">
            <w:pPr>
              <w:jc w:val="center"/>
              <w:rPr>
                <w:rFonts w:hint="eastAsia"/>
                <w:sz w:val="18"/>
                <w:szCs w:val="18"/>
              </w:rPr>
            </w:pPr>
            <w:r>
              <w:rPr>
                <w:rFonts w:hint="eastAsia"/>
                <w:sz w:val="18"/>
                <w:szCs w:val="18"/>
              </w:rPr>
              <w:t>管理人</w:t>
            </w:r>
          </w:p>
        </w:tc>
        <w:tc>
          <w:tcPr>
            <w:tcW w:w="1894" w:type="dxa"/>
            <w:gridSpan w:val="2"/>
            <w:vAlign w:val="center"/>
          </w:tcPr>
          <w:p w:rsidR="00673BC2" w:rsidRDefault="00624AAB" w:rsidP="00427932">
            <w:pPr>
              <w:jc w:val="center"/>
              <w:rPr>
                <w:rFonts w:hint="eastAsia"/>
                <w:sz w:val="18"/>
                <w:szCs w:val="18"/>
              </w:rPr>
            </w:pPr>
            <w:r>
              <w:rPr>
                <w:rFonts w:hint="eastAsia"/>
                <w:sz w:val="18"/>
                <w:szCs w:val="18"/>
              </w:rPr>
              <w:t>2011</w:t>
            </w:r>
            <w:r>
              <w:rPr>
                <w:rFonts w:hint="eastAsia"/>
                <w:sz w:val="18"/>
                <w:szCs w:val="18"/>
              </w:rPr>
              <w:t>年底</w:t>
            </w:r>
          </w:p>
        </w:tc>
        <w:tc>
          <w:tcPr>
            <w:tcW w:w="1894" w:type="dxa"/>
            <w:gridSpan w:val="2"/>
            <w:vAlign w:val="center"/>
          </w:tcPr>
          <w:p w:rsidR="00673BC2" w:rsidRDefault="00CA60C2" w:rsidP="00427932">
            <w:pPr>
              <w:jc w:val="center"/>
              <w:rPr>
                <w:rFonts w:hint="eastAsia"/>
                <w:sz w:val="18"/>
                <w:szCs w:val="18"/>
              </w:rPr>
            </w:pPr>
            <w:r>
              <w:rPr>
                <w:rFonts w:hint="eastAsia"/>
                <w:sz w:val="18"/>
                <w:szCs w:val="18"/>
              </w:rPr>
              <w:t>2010</w:t>
            </w:r>
            <w:r>
              <w:rPr>
                <w:rFonts w:hint="eastAsia"/>
                <w:sz w:val="18"/>
                <w:szCs w:val="18"/>
              </w:rPr>
              <w:t>年底</w:t>
            </w:r>
          </w:p>
        </w:tc>
        <w:tc>
          <w:tcPr>
            <w:tcW w:w="1894" w:type="dxa"/>
            <w:gridSpan w:val="2"/>
            <w:vAlign w:val="center"/>
          </w:tcPr>
          <w:p w:rsidR="00673BC2" w:rsidRDefault="00CA60C2" w:rsidP="00427932">
            <w:pPr>
              <w:jc w:val="center"/>
              <w:rPr>
                <w:rFonts w:hint="eastAsia"/>
                <w:sz w:val="18"/>
                <w:szCs w:val="18"/>
              </w:rPr>
            </w:pPr>
            <w:r>
              <w:rPr>
                <w:rFonts w:hint="eastAsia"/>
                <w:sz w:val="18"/>
                <w:szCs w:val="18"/>
              </w:rPr>
              <w:t>企业账户数变化</w:t>
            </w:r>
          </w:p>
        </w:tc>
        <w:tc>
          <w:tcPr>
            <w:tcW w:w="1894" w:type="dxa"/>
            <w:gridSpan w:val="2"/>
            <w:vAlign w:val="center"/>
          </w:tcPr>
          <w:p w:rsidR="00673BC2" w:rsidRDefault="008A43C2" w:rsidP="00427932">
            <w:pPr>
              <w:jc w:val="center"/>
              <w:rPr>
                <w:rFonts w:hint="eastAsia"/>
                <w:sz w:val="18"/>
                <w:szCs w:val="18"/>
              </w:rPr>
            </w:pPr>
            <w:r>
              <w:rPr>
                <w:rFonts w:hint="eastAsia"/>
                <w:sz w:val="18"/>
                <w:szCs w:val="18"/>
              </w:rPr>
              <w:t>个人账户数变化</w:t>
            </w:r>
          </w:p>
        </w:tc>
      </w:tr>
      <w:tr w:rsidR="00C84337" w:rsidTr="004F3A1C">
        <w:trPr>
          <w:jc w:val="center"/>
        </w:trPr>
        <w:tc>
          <w:tcPr>
            <w:tcW w:w="2584" w:type="dxa"/>
            <w:vMerge/>
            <w:vAlign w:val="center"/>
          </w:tcPr>
          <w:p w:rsidR="00C84337" w:rsidRDefault="00C84337" w:rsidP="00427932">
            <w:pPr>
              <w:jc w:val="center"/>
              <w:rPr>
                <w:sz w:val="18"/>
                <w:szCs w:val="18"/>
              </w:rPr>
            </w:pPr>
          </w:p>
        </w:tc>
        <w:tc>
          <w:tcPr>
            <w:tcW w:w="947" w:type="dxa"/>
            <w:vAlign w:val="center"/>
          </w:tcPr>
          <w:p w:rsidR="00C84337" w:rsidRDefault="00791CCC" w:rsidP="00427932">
            <w:pPr>
              <w:jc w:val="center"/>
              <w:rPr>
                <w:rFonts w:hint="eastAsia"/>
                <w:sz w:val="18"/>
                <w:szCs w:val="18"/>
              </w:rPr>
            </w:pPr>
            <w:r>
              <w:rPr>
                <w:rFonts w:hint="eastAsia"/>
                <w:sz w:val="18"/>
                <w:szCs w:val="18"/>
              </w:rPr>
              <w:t>（</w:t>
            </w:r>
            <w:r w:rsidR="00C84337">
              <w:rPr>
                <w:rFonts w:hint="eastAsia"/>
                <w:sz w:val="18"/>
                <w:szCs w:val="18"/>
              </w:rPr>
              <w:t>个</w:t>
            </w:r>
            <w:r>
              <w:rPr>
                <w:rFonts w:hint="eastAsia"/>
                <w:sz w:val="18"/>
                <w:szCs w:val="18"/>
              </w:rPr>
              <w:t>）</w:t>
            </w:r>
          </w:p>
        </w:tc>
        <w:tc>
          <w:tcPr>
            <w:tcW w:w="947" w:type="dxa"/>
            <w:vAlign w:val="center"/>
          </w:tcPr>
          <w:p w:rsidR="00C84337" w:rsidRDefault="00791CCC" w:rsidP="00427932">
            <w:pPr>
              <w:jc w:val="center"/>
              <w:rPr>
                <w:rFonts w:hint="eastAsia"/>
                <w:sz w:val="18"/>
                <w:szCs w:val="18"/>
              </w:rPr>
            </w:pPr>
            <w:r>
              <w:rPr>
                <w:rFonts w:hint="eastAsia"/>
                <w:sz w:val="18"/>
                <w:szCs w:val="18"/>
              </w:rPr>
              <w:t>（</w:t>
            </w:r>
            <w:r w:rsidR="00C84337">
              <w:rPr>
                <w:rFonts w:hint="eastAsia"/>
                <w:sz w:val="18"/>
                <w:szCs w:val="18"/>
              </w:rPr>
              <w:t>万</w:t>
            </w:r>
            <w:r>
              <w:rPr>
                <w:rFonts w:hint="eastAsia"/>
                <w:sz w:val="18"/>
                <w:szCs w:val="18"/>
              </w:rPr>
              <w:t>）</w:t>
            </w:r>
          </w:p>
        </w:tc>
        <w:tc>
          <w:tcPr>
            <w:tcW w:w="947" w:type="dxa"/>
            <w:vAlign w:val="center"/>
          </w:tcPr>
          <w:p w:rsidR="00C84337" w:rsidRDefault="00791CCC" w:rsidP="00C84337">
            <w:pPr>
              <w:jc w:val="center"/>
              <w:rPr>
                <w:rFonts w:hint="eastAsia"/>
                <w:sz w:val="18"/>
                <w:szCs w:val="18"/>
              </w:rPr>
            </w:pPr>
            <w:r>
              <w:rPr>
                <w:rFonts w:hint="eastAsia"/>
                <w:sz w:val="18"/>
                <w:szCs w:val="18"/>
              </w:rPr>
              <w:t>（</w:t>
            </w:r>
            <w:r w:rsidR="00C84337">
              <w:rPr>
                <w:rFonts w:hint="eastAsia"/>
                <w:sz w:val="18"/>
                <w:szCs w:val="18"/>
              </w:rPr>
              <w:t>个</w:t>
            </w:r>
            <w:r>
              <w:rPr>
                <w:rFonts w:hint="eastAsia"/>
                <w:sz w:val="18"/>
                <w:szCs w:val="18"/>
              </w:rPr>
              <w:t>）</w:t>
            </w:r>
          </w:p>
        </w:tc>
        <w:tc>
          <w:tcPr>
            <w:tcW w:w="947" w:type="dxa"/>
            <w:vAlign w:val="center"/>
          </w:tcPr>
          <w:p w:rsidR="00C84337" w:rsidRDefault="00791CCC" w:rsidP="00C84337">
            <w:pPr>
              <w:jc w:val="center"/>
              <w:rPr>
                <w:rFonts w:hint="eastAsia"/>
                <w:sz w:val="18"/>
                <w:szCs w:val="18"/>
              </w:rPr>
            </w:pPr>
            <w:r>
              <w:rPr>
                <w:rFonts w:hint="eastAsia"/>
                <w:sz w:val="18"/>
                <w:szCs w:val="18"/>
              </w:rPr>
              <w:t>（</w:t>
            </w:r>
            <w:r w:rsidR="00C84337">
              <w:rPr>
                <w:rFonts w:hint="eastAsia"/>
                <w:sz w:val="18"/>
                <w:szCs w:val="18"/>
              </w:rPr>
              <w:t>万</w:t>
            </w:r>
            <w:r>
              <w:rPr>
                <w:rFonts w:hint="eastAsia"/>
                <w:sz w:val="18"/>
                <w:szCs w:val="18"/>
              </w:rPr>
              <w:t>）</w:t>
            </w:r>
          </w:p>
        </w:tc>
        <w:tc>
          <w:tcPr>
            <w:tcW w:w="947" w:type="dxa"/>
            <w:vAlign w:val="center"/>
          </w:tcPr>
          <w:p w:rsidR="00C84337" w:rsidRDefault="008765CE" w:rsidP="00427932">
            <w:pPr>
              <w:jc w:val="center"/>
              <w:rPr>
                <w:rFonts w:hint="eastAsia"/>
                <w:sz w:val="18"/>
                <w:szCs w:val="18"/>
              </w:rPr>
            </w:pPr>
            <w:r>
              <w:rPr>
                <w:rFonts w:hint="eastAsia"/>
                <w:sz w:val="18"/>
                <w:szCs w:val="18"/>
              </w:rPr>
              <w:t>个</w:t>
            </w:r>
          </w:p>
        </w:tc>
        <w:tc>
          <w:tcPr>
            <w:tcW w:w="947" w:type="dxa"/>
            <w:vAlign w:val="center"/>
          </w:tcPr>
          <w:p w:rsidR="00C84337" w:rsidRDefault="008765CE" w:rsidP="00427932">
            <w:pPr>
              <w:jc w:val="center"/>
              <w:rPr>
                <w:rFonts w:hint="eastAsia"/>
                <w:sz w:val="18"/>
                <w:szCs w:val="18"/>
              </w:rPr>
            </w:pPr>
            <w:r>
              <w:rPr>
                <w:rFonts w:hint="eastAsia"/>
                <w:sz w:val="18"/>
                <w:szCs w:val="18"/>
              </w:rPr>
              <w:t>%</w:t>
            </w:r>
          </w:p>
        </w:tc>
        <w:tc>
          <w:tcPr>
            <w:tcW w:w="947" w:type="dxa"/>
            <w:vAlign w:val="center"/>
          </w:tcPr>
          <w:p w:rsidR="00C84337" w:rsidRDefault="00A42A91" w:rsidP="00427932">
            <w:pPr>
              <w:jc w:val="center"/>
              <w:rPr>
                <w:rFonts w:hint="eastAsia"/>
                <w:sz w:val="18"/>
                <w:szCs w:val="18"/>
              </w:rPr>
            </w:pPr>
            <w:r>
              <w:rPr>
                <w:rFonts w:hint="eastAsia"/>
                <w:sz w:val="18"/>
                <w:szCs w:val="18"/>
              </w:rPr>
              <w:t>万</w:t>
            </w:r>
          </w:p>
        </w:tc>
        <w:tc>
          <w:tcPr>
            <w:tcW w:w="947" w:type="dxa"/>
            <w:vAlign w:val="center"/>
          </w:tcPr>
          <w:p w:rsidR="00C84337" w:rsidRDefault="00A42A91" w:rsidP="00427932">
            <w:pPr>
              <w:jc w:val="center"/>
              <w:rPr>
                <w:rFonts w:hint="eastAsia"/>
                <w:sz w:val="18"/>
                <w:szCs w:val="18"/>
              </w:rPr>
            </w:pPr>
            <w:r>
              <w:rPr>
                <w:rFonts w:hint="eastAsia"/>
                <w:sz w:val="18"/>
                <w:szCs w:val="18"/>
              </w:rPr>
              <w:t>个</w:t>
            </w:r>
          </w:p>
        </w:tc>
      </w:tr>
      <w:tr w:rsidR="00C84337" w:rsidTr="004F3A1C">
        <w:trPr>
          <w:jc w:val="center"/>
        </w:trPr>
        <w:tc>
          <w:tcPr>
            <w:tcW w:w="2584" w:type="dxa"/>
            <w:vAlign w:val="center"/>
          </w:tcPr>
          <w:p w:rsidR="00C84337" w:rsidRPr="004F3A1C" w:rsidRDefault="004F3A1C" w:rsidP="004F3A1C">
            <w:pPr>
              <w:jc w:val="center"/>
              <w:rPr>
                <w:sz w:val="18"/>
                <w:szCs w:val="18"/>
              </w:rPr>
            </w:pPr>
            <w:r w:rsidRPr="004F3A1C">
              <w:rPr>
                <w:rFonts w:hint="eastAsia"/>
                <w:sz w:val="18"/>
                <w:szCs w:val="18"/>
              </w:rPr>
              <w:t>中国工商银行股份有限公司</w:t>
            </w:r>
          </w:p>
        </w:tc>
        <w:tc>
          <w:tcPr>
            <w:tcW w:w="947" w:type="dxa"/>
            <w:vAlign w:val="center"/>
          </w:tcPr>
          <w:p w:rsidR="00C84337" w:rsidRPr="00E9024A" w:rsidRDefault="00E9024A" w:rsidP="00E9024A">
            <w:pPr>
              <w:jc w:val="center"/>
              <w:rPr>
                <w:sz w:val="18"/>
                <w:szCs w:val="18"/>
              </w:rPr>
            </w:pPr>
            <w:r w:rsidRPr="00E9024A">
              <w:rPr>
                <w:sz w:val="18"/>
                <w:szCs w:val="18"/>
              </w:rPr>
              <w:t>20031</w:t>
            </w:r>
          </w:p>
        </w:tc>
        <w:tc>
          <w:tcPr>
            <w:tcW w:w="947" w:type="dxa"/>
            <w:vAlign w:val="center"/>
          </w:tcPr>
          <w:p w:rsidR="00C84337" w:rsidRDefault="00E9024A" w:rsidP="00E9024A">
            <w:pPr>
              <w:jc w:val="center"/>
              <w:rPr>
                <w:sz w:val="18"/>
                <w:szCs w:val="18"/>
              </w:rPr>
            </w:pPr>
            <w:r w:rsidRPr="00E9024A">
              <w:rPr>
                <w:sz w:val="18"/>
                <w:szCs w:val="18"/>
              </w:rPr>
              <w:t>740.67</w:t>
            </w:r>
          </w:p>
        </w:tc>
        <w:tc>
          <w:tcPr>
            <w:tcW w:w="947" w:type="dxa"/>
            <w:vAlign w:val="center"/>
          </w:tcPr>
          <w:p w:rsidR="00C84337" w:rsidRDefault="00E9024A" w:rsidP="00E9024A">
            <w:pPr>
              <w:jc w:val="center"/>
              <w:rPr>
                <w:sz w:val="18"/>
                <w:szCs w:val="18"/>
              </w:rPr>
            </w:pPr>
            <w:r w:rsidRPr="00E9024A">
              <w:rPr>
                <w:sz w:val="18"/>
                <w:szCs w:val="18"/>
              </w:rPr>
              <w:t>5732</w:t>
            </w:r>
          </w:p>
        </w:tc>
        <w:tc>
          <w:tcPr>
            <w:tcW w:w="947" w:type="dxa"/>
            <w:vAlign w:val="center"/>
          </w:tcPr>
          <w:p w:rsidR="00C84337" w:rsidRDefault="00E9024A" w:rsidP="00E9024A">
            <w:pPr>
              <w:jc w:val="center"/>
              <w:rPr>
                <w:sz w:val="18"/>
                <w:szCs w:val="18"/>
              </w:rPr>
            </w:pPr>
            <w:r w:rsidRPr="00E9024A">
              <w:rPr>
                <w:sz w:val="18"/>
                <w:szCs w:val="18"/>
              </w:rPr>
              <w:t>646.76</w:t>
            </w:r>
          </w:p>
        </w:tc>
        <w:tc>
          <w:tcPr>
            <w:tcW w:w="947" w:type="dxa"/>
            <w:vAlign w:val="center"/>
          </w:tcPr>
          <w:p w:rsidR="00C84337" w:rsidRDefault="00E9024A" w:rsidP="00E9024A">
            <w:pPr>
              <w:jc w:val="center"/>
              <w:rPr>
                <w:sz w:val="18"/>
                <w:szCs w:val="18"/>
              </w:rPr>
            </w:pPr>
            <w:r w:rsidRPr="00E9024A">
              <w:rPr>
                <w:sz w:val="18"/>
                <w:szCs w:val="18"/>
              </w:rPr>
              <w:t>4299</w:t>
            </w:r>
          </w:p>
        </w:tc>
        <w:tc>
          <w:tcPr>
            <w:tcW w:w="947" w:type="dxa"/>
            <w:vAlign w:val="center"/>
          </w:tcPr>
          <w:p w:rsidR="00C84337" w:rsidRDefault="00E9024A" w:rsidP="00E9024A">
            <w:pPr>
              <w:jc w:val="center"/>
              <w:rPr>
                <w:sz w:val="18"/>
                <w:szCs w:val="18"/>
              </w:rPr>
            </w:pPr>
            <w:r w:rsidRPr="00E9024A">
              <w:rPr>
                <w:sz w:val="18"/>
                <w:szCs w:val="18"/>
              </w:rPr>
              <w:t>27.33</w:t>
            </w:r>
          </w:p>
        </w:tc>
        <w:tc>
          <w:tcPr>
            <w:tcW w:w="947" w:type="dxa"/>
            <w:vAlign w:val="center"/>
          </w:tcPr>
          <w:p w:rsidR="00C84337" w:rsidRDefault="00E9024A" w:rsidP="00427932">
            <w:pPr>
              <w:jc w:val="center"/>
              <w:rPr>
                <w:sz w:val="18"/>
                <w:szCs w:val="18"/>
              </w:rPr>
            </w:pPr>
            <w:r w:rsidRPr="00E9024A">
              <w:rPr>
                <w:sz w:val="18"/>
                <w:szCs w:val="18"/>
              </w:rPr>
              <w:t>93.91</w:t>
            </w:r>
          </w:p>
        </w:tc>
        <w:tc>
          <w:tcPr>
            <w:tcW w:w="947" w:type="dxa"/>
            <w:vAlign w:val="center"/>
          </w:tcPr>
          <w:p w:rsidR="00C84337" w:rsidRDefault="00E9024A" w:rsidP="00E9024A">
            <w:pPr>
              <w:jc w:val="center"/>
              <w:rPr>
                <w:sz w:val="18"/>
                <w:szCs w:val="18"/>
              </w:rPr>
            </w:pPr>
            <w:r w:rsidRPr="00E9024A">
              <w:rPr>
                <w:sz w:val="18"/>
                <w:szCs w:val="18"/>
              </w:rPr>
              <w:t>14.52</w:t>
            </w:r>
          </w:p>
        </w:tc>
      </w:tr>
      <w:tr w:rsidR="00C84337" w:rsidTr="004F3A1C">
        <w:trPr>
          <w:jc w:val="center"/>
        </w:trPr>
        <w:tc>
          <w:tcPr>
            <w:tcW w:w="2584" w:type="dxa"/>
            <w:vAlign w:val="center"/>
          </w:tcPr>
          <w:p w:rsidR="00C84337" w:rsidRPr="004F3A1C" w:rsidRDefault="004F3A1C" w:rsidP="00427932">
            <w:pPr>
              <w:jc w:val="center"/>
              <w:rPr>
                <w:sz w:val="18"/>
                <w:szCs w:val="18"/>
              </w:rPr>
            </w:pPr>
            <w:r w:rsidRPr="004F3A1C">
              <w:rPr>
                <w:rFonts w:hint="eastAsia"/>
                <w:sz w:val="18"/>
                <w:szCs w:val="18"/>
              </w:rPr>
              <w:t>长江养老保险股份有限公司</w:t>
            </w:r>
          </w:p>
        </w:tc>
        <w:tc>
          <w:tcPr>
            <w:tcW w:w="947" w:type="dxa"/>
            <w:vAlign w:val="center"/>
          </w:tcPr>
          <w:p w:rsidR="00C84337" w:rsidRDefault="00E9024A" w:rsidP="00427932">
            <w:pPr>
              <w:jc w:val="center"/>
              <w:rPr>
                <w:sz w:val="18"/>
                <w:szCs w:val="18"/>
              </w:rPr>
            </w:pPr>
            <w:r w:rsidRPr="00E9024A">
              <w:rPr>
                <w:sz w:val="18"/>
                <w:szCs w:val="18"/>
              </w:rPr>
              <w:t>5639</w:t>
            </w:r>
          </w:p>
        </w:tc>
        <w:tc>
          <w:tcPr>
            <w:tcW w:w="947" w:type="dxa"/>
            <w:vAlign w:val="center"/>
          </w:tcPr>
          <w:p w:rsidR="00C84337" w:rsidRDefault="00E9024A" w:rsidP="00427932">
            <w:pPr>
              <w:jc w:val="center"/>
              <w:rPr>
                <w:sz w:val="18"/>
                <w:szCs w:val="18"/>
              </w:rPr>
            </w:pPr>
            <w:r w:rsidRPr="00E9024A">
              <w:rPr>
                <w:sz w:val="18"/>
                <w:szCs w:val="18"/>
              </w:rPr>
              <w:t>76.52</w:t>
            </w:r>
          </w:p>
        </w:tc>
        <w:tc>
          <w:tcPr>
            <w:tcW w:w="947" w:type="dxa"/>
            <w:vAlign w:val="center"/>
          </w:tcPr>
          <w:p w:rsidR="00C84337" w:rsidRDefault="00E9024A" w:rsidP="00427932">
            <w:pPr>
              <w:jc w:val="center"/>
              <w:rPr>
                <w:sz w:val="18"/>
                <w:szCs w:val="18"/>
              </w:rPr>
            </w:pPr>
            <w:r w:rsidRPr="00E9024A">
              <w:rPr>
                <w:sz w:val="18"/>
                <w:szCs w:val="18"/>
              </w:rPr>
              <w:t>5509</w:t>
            </w:r>
          </w:p>
        </w:tc>
        <w:tc>
          <w:tcPr>
            <w:tcW w:w="947" w:type="dxa"/>
            <w:vAlign w:val="center"/>
          </w:tcPr>
          <w:p w:rsidR="00C84337" w:rsidRDefault="00E9024A" w:rsidP="00427932">
            <w:pPr>
              <w:jc w:val="center"/>
              <w:rPr>
                <w:sz w:val="18"/>
                <w:szCs w:val="18"/>
              </w:rPr>
            </w:pPr>
            <w:r w:rsidRPr="00E9024A">
              <w:rPr>
                <w:sz w:val="18"/>
                <w:szCs w:val="18"/>
              </w:rPr>
              <w:t>71.93</w:t>
            </w:r>
          </w:p>
        </w:tc>
        <w:tc>
          <w:tcPr>
            <w:tcW w:w="947" w:type="dxa"/>
            <w:vAlign w:val="center"/>
          </w:tcPr>
          <w:p w:rsidR="00C84337" w:rsidRDefault="00E9024A" w:rsidP="00427932">
            <w:pPr>
              <w:jc w:val="center"/>
              <w:rPr>
                <w:sz w:val="18"/>
                <w:szCs w:val="18"/>
              </w:rPr>
            </w:pPr>
            <w:r w:rsidRPr="00E9024A">
              <w:rPr>
                <w:sz w:val="18"/>
                <w:szCs w:val="18"/>
              </w:rPr>
              <w:t>130</w:t>
            </w:r>
          </w:p>
        </w:tc>
        <w:tc>
          <w:tcPr>
            <w:tcW w:w="947" w:type="dxa"/>
            <w:vAlign w:val="center"/>
          </w:tcPr>
          <w:p w:rsidR="00C84337" w:rsidRDefault="00E9024A" w:rsidP="00427932">
            <w:pPr>
              <w:jc w:val="center"/>
              <w:rPr>
                <w:sz w:val="18"/>
                <w:szCs w:val="18"/>
              </w:rPr>
            </w:pPr>
            <w:r w:rsidRPr="00E9024A">
              <w:rPr>
                <w:sz w:val="18"/>
                <w:szCs w:val="18"/>
              </w:rPr>
              <w:t>2.36</w:t>
            </w:r>
          </w:p>
        </w:tc>
        <w:tc>
          <w:tcPr>
            <w:tcW w:w="947" w:type="dxa"/>
            <w:vAlign w:val="center"/>
          </w:tcPr>
          <w:p w:rsidR="00C84337" w:rsidRDefault="00E9024A" w:rsidP="00427932">
            <w:pPr>
              <w:jc w:val="center"/>
              <w:rPr>
                <w:sz w:val="18"/>
                <w:szCs w:val="18"/>
              </w:rPr>
            </w:pPr>
            <w:r w:rsidRPr="00E9024A">
              <w:rPr>
                <w:sz w:val="18"/>
                <w:szCs w:val="18"/>
              </w:rPr>
              <w:t>4.59</w:t>
            </w:r>
          </w:p>
        </w:tc>
        <w:tc>
          <w:tcPr>
            <w:tcW w:w="947" w:type="dxa"/>
            <w:vAlign w:val="center"/>
          </w:tcPr>
          <w:p w:rsidR="00C84337" w:rsidRDefault="00E9024A" w:rsidP="00427932">
            <w:pPr>
              <w:jc w:val="center"/>
              <w:rPr>
                <w:sz w:val="18"/>
                <w:szCs w:val="18"/>
              </w:rPr>
            </w:pPr>
            <w:r w:rsidRPr="00E9024A">
              <w:rPr>
                <w:sz w:val="18"/>
                <w:szCs w:val="18"/>
              </w:rPr>
              <w:t>6.38</w:t>
            </w:r>
          </w:p>
        </w:tc>
      </w:tr>
      <w:tr w:rsidR="00C84337" w:rsidTr="004F3A1C">
        <w:trPr>
          <w:jc w:val="center"/>
        </w:trPr>
        <w:tc>
          <w:tcPr>
            <w:tcW w:w="2584" w:type="dxa"/>
            <w:vAlign w:val="center"/>
          </w:tcPr>
          <w:p w:rsidR="00C84337" w:rsidRDefault="004F3A1C" w:rsidP="00427932">
            <w:pPr>
              <w:jc w:val="center"/>
              <w:rPr>
                <w:sz w:val="18"/>
                <w:szCs w:val="18"/>
              </w:rPr>
            </w:pPr>
            <w:r w:rsidRPr="004F3A1C">
              <w:rPr>
                <w:rFonts w:hint="eastAsia"/>
                <w:sz w:val="18"/>
                <w:szCs w:val="18"/>
              </w:rPr>
              <w:t>中国建设银行股份有限公司</w:t>
            </w:r>
          </w:p>
        </w:tc>
        <w:tc>
          <w:tcPr>
            <w:tcW w:w="947" w:type="dxa"/>
            <w:vAlign w:val="center"/>
          </w:tcPr>
          <w:p w:rsidR="00C84337" w:rsidRDefault="00E9024A" w:rsidP="00427932">
            <w:pPr>
              <w:jc w:val="center"/>
              <w:rPr>
                <w:sz w:val="18"/>
                <w:szCs w:val="18"/>
              </w:rPr>
            </w:pPr>
            <w:r w:rsidRPr="00E9024A">
              <w:rPr>
                <w:sz w:val="18"/>
                <w:szCs w:val="18"/>
              </w:rPr>
              <w:t>4009</w:t>
            </w:r>
          </w:p>
        </w:tc>
        <w:tc>
          <w:tcPr>
            <w:tcW w:w="947" w:type="dxa"/>
            <w:vAlign w:val="center"/>
          </w:tcPr>
          <w:p w:rsidR="00C84337" w:rsidRDefault="00E9024A" w:rsidP="00427932">
            <w:pPr>
              <w:jc w:val="center"/>
              <w:rPr>
                <w:sz w:val="18"/>
                <w:szCs w:val="18"/>
              </w:rPr>
            </w:pPr>
            <w:r w:rsidRPr="00E9024A">
              <w:rPr>
                <w:sz w:val="18"/>
                <w:szCs w:val="18"/>
              </w:rPr>
              <w:t>203.92</w:t>
            </w:r>
          </w:p>
        </w:tc>
        <w:tc>
          <w:tcPr>
            <w:tcW w:w="947" w:type="dxa"/>
            <w:vAlign w:val="center"/>
          </w:tcPr>
          <w:p w:rsidR="00C84337" w:rsidRDefault="00E9024A" w:rsidP="00427932">
            <w:pPr>
              <w:jc w:val="center"/>
              <w:rPr>
                <w:sz w:val="18"/>
                <w:szCs w:val="18"/>
              </w:rPr>
            </w:pPr>
            <w:r w:rsidRPr="00E9024A">
              <w:rPr>
                <w:sz w:val="18"/>
                <w:szCs w:val="18"/>
              </w:rPr>
              <w:t>3021</w:t>
            </w:r>
          </w:p>
        </w:tc>
        <w:tc>
          <w:tcPr>
            <w:tcW w:w="947" w:type="dxa"/>
            <w:vAlign w:val="center"/>
          </w:tcPr>
          <w:p w:rsidR="00C84337" w:rsidRDefault="00E9024A" w:rsidP="00427932">
            <w:pPr>
              <w:jc w:val="center"/>
              <w:rPr>
                <w:sz w:val="18"/>
                <w:szCs w:val="18"/>
              </w:rPr>
            </w:pPr>
            <w:r w:rsidRPr="00E9024A">
              <w:rPr>
                <w:sz w:val="18"/>
                <w:szCs w:val="18"/>
              </w:rPr>
              <w:t>168.39</w:t>
            </w:r>
          </w:p>
        </w:tc>
        <w:tc>
          <w:tcPr>
            <w:tcW w:w="947" w:type="dxa"/>
            <w:vAlign w:val="center"/>
          </w:tcPr>
          <w:p w:rsidR="00C84337" w:rsidRDefault="00E9024A" w:rsidP="00427932">
            <w:pPr>
              <w:jc w:val="center"/>
              <w:rPr>
                <w:sz w:val="18"/>
                <w:szCs w:val="18"/>
              </w:rPr>
            </w:pPr>
            <w:r w:rsidRPr="00E9024A">
              <w:rPr>
                <w:sz w:val="18"/>
                <w:szCs w:val="18"/>
              </w:rPr>
              <w:t>988</w:t>
            </w:r>
          </w:p>
        </w:tc>
        <w:tc>
          <w:tcPr>
            <w:tcW w:w="947" w:type="dxa"/>
            <w:vAlign w:val="center"/>
          </w:tcPr>
          <w:p w:rsidR="00C84337" w:rsidRDefault="00E9024A" w:rsidP="00427932">
            <w:pPr>
              <w:jc w:val="center"/>
              <w:rPr>
                <w:sz w:val="18"/>
                <w:szCs w:val="18"/>
              </w:rPr>
            </w:pPr>
            <w:r w:rsidRPr="00E9024A">
              <w:rPr>
                <w:sz w:val="18"/>
                <w:szCs w:val="18"/>
              </w:rPr>
              <w:t>32.70</w:t>
            </w:r>
          </w:p>
        </w:tc>
        <w:tc>
          <w:tcPr>
            <w:tcW w:w="947" w:type="dxa"/>
            <w:vAlign w:val="center"/>
          </w:tcPr>
          <w:p w:rsidR="00C84337" w:rsidRDefault="00E9024A" w:rsidP="00427932">
            <w:pPr>
              <w:jc w:val="center"/>
              <w:rPr>
                <w:sz w:val="18"/>
                <w:szCs w:val="18"/>
              </w:rPr>
            </w:pPr>
            <w:r w:rsidRPr="00E9024A">
              <w:rPr>
                <w:sz w:val="18"/>
                <w:szCs w:val="18"/>
              </w:rPr>
              <w:t>35.53</w:t>
            </w:r>
          </w:p>
        </w:tc>
        <w:tc>
          <w:tcPr>
            <w:tcW w:w="947" w:type="dxa"/>
            <w:vAlign w:val="center"/>
          </w:tcPr>
          <w:p w:rsidR="00C84337" w:rsidRDefault="00E9024A" w:rsidP="00427932">
            <w:pPr>
              <w:jc w:val="center"/>
              <w:rPr>
                <w:sz w:val="18"/>
                <w:szCs w:val="18"/>
              </w:rPr>
            </w:pPr>
            <w:r w:rsidRPr="00E9024A">
              <w:rPr>
                <w:sz w:val="18"/>
                <w:szCs w:val="18"/>
              </w:rPr>
              <w:t>21.10</w:t>
            </w:r>
          </w:p>
        </w:tc>
      </w:tr>
    </w:tbl>
    <w:p w:rsidR="004C64E0" w:rsidRPr="00D86CF8" w:rsidRDefault="004C64E0" w:rsidP="00EC6283">
      <w:pPr>
        <w:rPr>
          <w:rFonts w:hint="eastAsia"/>
        </w:rPr>
      </w:pPr>
    </w:p>
    <w:sectPr w:rsidR="004C64E0" w:rsidRPr="00D86CF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94C66" w:rsidRDefault="00394C66" w:rsidP="00394C66">
      <w:r>
        <w:separator/>
      </w:r>
    </w:p>
  </w:endnote>
  <w:endnote w:type="continuationSeparator" w:id="0">
    <w:p w:rsidR="00394C66" w:rsidRDefault="00394C66" w:rsidP="00394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94C66" w:rsidRDefault="00394C66" w:rsidP="00394C66">
      <w:r>
        <w:separator/>
      </w:r>
    </w:p>
  </w:footnote>
  <w:footnote w:type="continuationSeparator" w:id="0">
    <w:p w:rsidR="00394C66" w:rsidRDefault="00394C66" w:rsidP="00394C6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439D"/>
    <w:rsid w:val="00113B2B"/>
    <w:rsid w:val="0012439D"/>
    <w:rsid w:val="002152AB"/>
    <w:rsid w:val="002723CE"/>
    <w:rsid w:val="00297C81"/>
    <w:rsid w:val="00303D97"/>
    <w:rsid w:val="0032010D"/>
    <w:rsid w:val="00394C66"/>
    <w:rsid w:val="003E7EF7"/>
    <w:rsid w:val="00427932"/>
    <w:rsid w:val="004B72F3"/>
    <w:rsid w:val="004C64E0"/>
    <w:rsid w:val="004F3A1C"/>
    <w:rsid w:val="00500B29"/>
    <w:rsid w:val="00624AAB"/>
    <w:rsid w:val="00673BC2"/>
    <w:rsid w:val="006B7374"/>
    <w:rsid w:val="006F7CA4"/>
    <w:rsid w:val="00791CCC"/>
    <w:rsid w:val="007D2E4F"/>
    <w:rsid w:val="00814A91"/>
    <w:rsid w:val="00820153"/>
    <w:rsid w:val="0082639A"/>
    <w:rsid w:val="008765CE"/>
    <w:rsid w:val="008A43C2"/>
    <w:rsid w:val="00940D2E"/>
    <w:rsid w:val="00A42A91"/>
    <w:rsid w:val="00A71D08"/>
    <w:rsid w:val="00C84337"/>
    <w:rsid w:val="00CA60C2"/>
    <w:rsid w:val="00D11585"/>
    <w:rsid w:val="00D86CF8"/>
    <w:rsid w:val="00E9024A"/>
    <w:rsid w:val="00EC6283"/>
    <w:rsid w:val="00EF7769"/>
    <w:rsid w:val="00F67998"/>
    <w:rsid w:val="00F76E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567DC86-5CA5-48C7-B145-1C894C00A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297C8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394C6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394C66"/>
    <w:rPr>
      <w:kern w:val="2"/>
      <w:sz w:val="18"/>
      <w:szCs w:val="18"/>
    </w:rPr>
  </w:style>
  <w:style w:type="paragraph" w:styleId="a6">
    <w:name w:val="footer"/>
    <w:basedOn w:val="a"/>
    <w:link w:val="a7"/>
    <w:rsid w:val="00394C66"/>
    <w:pPr>
      <w:tabs>
        <w:tab w:val="center" w:pos="4153"/>
        <w:tab w:val="right" w:pos="8306"/>
      </w:tabs>
      <w:snapToGrid w:val="0"/>
      <w:jc w:val="left"/>
    </w:pPr>
    <w:rPr>
      <w:sz w:val="18"/>
      <w:szCs w:val="18"/>
    </w:rPr>
  </w:style>
  <w:style w:type="character" w:customStyle="1" w:styleId="a7">
    <w:name w:val="页脚 字符"/>
    <w:basedOn w:val="a0"/>
    <w:link w:val="a6"/>
    <w:rsid w:val="00394C6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197</Words>
  <Characters>1123</Characters>
  <Application>Microsoft Office Word</Application>
  <DocSecurity>0</DocSecurity>
  <Lines>9</Lines>
  <Paragraphs>2</Paragraphs>
  <ScaleCrop>false</ScaleCrop>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亦哲君</cp:lastModifiedBy>
  <cp:revision>2</cp:revision>
  <dcterms:created xsi:type="dcterms:W3CDTF">2025-03-30T12:49:00Z</dcterms:created>
  <dcterms:modified xsi:type="dcterms:W3CDTF">2025-03-30T12:49:00Z</dcterms:modified>
</cp:coreProperties>
</file>