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B095E">
      <w:pPr>
        <w:rPr>
          <w:rFonts w:ascii="宋体" w:hAnsi="宋体"/>
          <w:b/>
          <w:bCs/>
          <w:sz w:val="13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756920</wp:posOffset>
            </wp:positionH>
            <wp:positionV relativeFrom="paragraph">
              <wp:posOffset>198120</wp:posOffset>
            </wp:positionV>
            <wp:extent cx="3886200" cy="97155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C433D3A">
      <w:pPr>
        <w:rPr>
          <w:rFonts w:ascii="Times New Roman" w:hAnsi="Times New Roman"/>
        </w:rPr>
      </w:pPr>
    </w:p>
    <w:p w14:paraId="3A90D15B">
      <w:pPr>
        <w:jc w:val="center"/>
      </w:pPr>
      <w:r>
        <w:drawing>
          <wp:inline distT="0" distB="0" distL="0" distR="0">
            <wp:extent cx="1270000" cy="123825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C707D">
      <w:pPr>
        <w:jc w:val="center"/>
      </w:pPr>
    </w:p>
    <w:p w14:paraId="383462D9">
      <w:pPr>
        <w:rPr>
          <w:rFonts w:ascii="宋体" w:hAnsi="宋体"/>
          <w:bCs/>
          <w:sz w:val="24"/>
          <w:szCs w:val="44"/>
        </w:rPr>
      </w:pPr>
    </w:p>
    <w:p w14:paraId="6B1E7AF7">
      <w:pPr>
        <w:pStyle w:val="2"/>
        <w:jc w:val="center"/>
      </w:pPr>
      <w:r>
        <w:rPr>
          <w:rFonts w:hint="eastAsia"/>
        </w:rPr>
        <w:t>管理学院夏令营-文献阅读报告</w:t>
      </w:r>
    </w:p>
    <w:p w14:paraId="29F36A79"/>
    <w:p w14:paraId="6FCC55F1">
      <w:pPr>
        <w:spacing w:before="240" w:line="520" w:lineRule="exact"/>
        <w:ind w:left="1354" w:hanging="220"/>
        <w:rPr>
          <w:b/>
          <w:sz w:val="28"/>
          <w:u w:val="single"/>
        </w:rPr>
      </w:pPr>
      <w:r>
        <w:rPr>
          <w:rFonts w:hint="eastAsia"/>
          <w:b/>
          <w:sz w:val="28"/>
        </w:rPr>
        <w:t>论文题目</w:t>
      </w:r>
      <w:r>
        <w:rPr>
          <w:rFonts w:hint="eastAsia"/>
          <w:b/>
          <w:sz w:val="28"/>
          <w:lang w:eastAsia="zh-CN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 xml:space="preserve">《Optimal Integration : Human , Machine and Generative AI》 </w:t>
      </w:r>
    </w:p>
    <w:p w14:paraId="0D09E6B4">
      <w:pPr>
        <w:spacing w:before="240" w:line="520" w:lineRule="exact"/>
        <w:ind w:left="1354" w:hanging="220"/>
        <w:rPr>
          <w:b/>
          <w:sz w:val="28"/>
          <w:u w:val="single"/>
        </w:rPr>
      </w:pPr>
      <w:r>
        <w:rPr>
          <w:rFonts w:hint="eastAsia"/>
          <w:b/>
          <w:sz w:val="28"/>
        </w:rPr>
        <w:t>学生姓名</w:t>
      </w:r>
      <w:r>
        <w:rPr>
          <w:b/>
          <w:sz w:val="28"/>
        </w:rPr>
        <w:t xml:space="preserve">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 xml:space="preserve"> 李一珩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b/>
          <w:sz w:val="28"/>
          <w:u w:val="single"/>
        </w:rPr>
        <w:t xml:space="preserve"> </w:t>
      </w:r>
    </w:p>
    <w:p w14:paraId="4FE44D73">
      <w:pPr>
        <w:spacing w:before="360" w:line="520" w:lineRule="exact"/>
        <w:ind w:left="1354" w:hanging="220"/>
        <w:rPr>
          <w:b/>
          <w:sz w:val="28"/>
          <w:u w:val="single"/>
        </w:rPr>
      </w:pPr>
      <w:r>
        <w:rPr>
          <w:rFonts w:hint="eastAsia"/>
          <w:b/>
          <w:sz w:val="28"/>
        </w:rPr>
        <w:t>学校与专业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南开大学-精算学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b/>
          <w:sz w:val="28"/>
          <w:u w:val="single"/>
        </w:rPr>
        <w:t xml:space="preserve">   </w:t>
      </w:r>
    </w:p>
    <w:p w14:paraId="786D1CBB">
      <w:pPr>
        <w:spacing w:before="360" w:line="520" w:lineRule="exact"/>
        <w:ind w:left="1354" w:hanging="220"/>
        <w:rPr>
          <w:b/>
          <w:sz w:val="28"/>
          <w:u w:val="single"/>
        </w:rPr>
        <w:sectPr>
          <w:pgSz w:w="11906" w:h="16838"/>
          <w:pgMar w:top="1440" w:right="1133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28"/>
        </w:rPr>
        <w:t>意向专业/方向</w:t>
      </w:r>
      <w:r>
        <w:rPr>
          <w:b/>
          <w:sz w:val="28"/>
        </w:rPr>
        <w:tab/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管理科学与工程-供应链、物流与优化</w:t>
      </w:r>
    </w:p>
    <w:p w14:paraId="392CA0B2">
      <w:pPr>
        <w:bidi w:val="0"/>
        <w:rPr>
          <w:rFonts w:hint="eastAsia" w:ascii="华文仿宋" w:hAnsi="华文仿宋" w:eastAsia="华文仿宋"/>
          <w:sz w:val="32"/>
          <w:szCs w:val="28"/>
        </w:rPr>
      </w:pPr>
      <w:r>
        <w:rPr>
          <w:rFonts w:hint="eastAsia" w:ascii="华文仿宋" w:hAnsi="华文仿宋" w:eastAsia="华文仿宋"/>
          <w:sz w:val="32"/>
          <w:szCs w:val="28"/>
          <w:lang w:val="en-US" w:eastAsia="zh-CN"/>
        </w:rPr>
        <w:t>一、</w:t>
      </w:r>
      <w:r>
        <w:rPr>
          <w:rFonts w:hint="eastAsia" w:ascii="华文仿宋" w:hAnsi="华文仿宋" w:eastAsia="华文仿宋"/>
          <w:sz w:val="32"/>
          <w:szCs w:val="28"/>
        </w:rPr>
        <w:t>论文研究主题的创新点 （</w:t>
      </w:r>
      <w:r>
        <w:rPr>
          <w:rFonts w:ascii="华文仿宋" w:hAnsi="华文仿宋" w:eastAsia="华文仿宋"/>
          <w:sz w:val="32"/>
          <w:szCs w:val="28"/>
        </w:rPr>
        <w:t>10</w:t>
      </w:r>
      <w:r>
        <w:rPr>
          <w:rFonts w:hint="eastAsia" w:ascii="华文仿宋" w:hAnsi="华文仿宋" w:eastAsia="华文仿宋"/>
          <w:sz w:val="32"/>
          <w:szCs w:val="28"/>
        </w:rPr>
        <w:t>分）</w:t>
      </w:r>
    </w:p>
    <w:p w14:paraId="68A5A3A2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本文</w:t>
      </w:r>
      <w:r>
        <w:rPr>
          <w:rFonts w:ascii="宋体" w:hAnsi="宋体" w:eastAsia="宋体" w:cs="宋体"/>
          <w:sz w:val="24"/>
          <w:szCs w:val="24"/>
        </w:rPr>
        <w:t>研究主题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ascii="宋体" w:hAnsi="宋体" w:eastAsia="宋体" w:cs="宋体"/>
          <w:sz w:val="24"/>
          <w:szCs w:val="24"/>
        </w:rPr>
        <w:t>在多层决策过程中，人类、机器以及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AI</w:t>
      </w:r>
      <w:r>
        <w:rPr>
          <w:rFonts w:ascii="宋体" w:hAnsi="宋体" w:eastAsia="宋体" w:cs="宋体"/>
          <w:sz w:val="24"/>
          <w:szCs w:val="24"/>
        </w:rPr>
        <w:t>的最优整合顺序与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最终决策权的归属</w:t>
      </w:r>
      <w:r>
        <w:rPr>
          <w:rFonts w:ascii="宋体" w:hAnsi="宋体" w:eastAsia="宋体" w:cs="宋体"/>
          <w:sz w:val="24"/>
          <w:szCs w:val="24"/>
        </w:rPr>
        <w:t>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并探讨这种顺序如何影响人类在不同决策环节付出努力的动机。</w:t>
      </w:r>
    </w:p>
    <w:p w14:paraId="252F012D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文章指出多层决策链的两类错误：</w:t>
      </w:r>
    </w:p>
    <w:p w14:paraId="2626ED40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Type 1 error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m:oMath>
        <m:sSub>
          <m:sSubP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e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决策者有概率将上一层的正确输入改错；</w:t>
      </w:r>
    </w:p>
    <w:p w14:paraId="23050B8D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Type 2 error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m:oMath>
        <m:sSub>
          <m:sSubP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e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决策者有概率无法发现并纠正上一层输入的错误信息；   </w:t>
      </w:r>
    </w:p>
    <w:p w14:paraId="5AF33A70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基于此，文章主要有以下三个创新点：</w:t>
      </w:r>
    </w:p>
    <w:p w14:paraId="2D52DE2F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①视角上，</w:t>
      </w:r>
      <w:r>
        <w:rPr>
          <w:rFonts w:ascii="宋体" w:hAnsi="宋体" w:eastAsia="宋体" w:cs="宋体"/>
          <w:sz w:val="24"/>
          <w:szCs w:val="24"/>
        </w:rPr>
        <w:t>将决策链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条建模</w:t>
      </w:r>
      <w:r>
        <w:rPr>
          <w:rFonts w:ascii="宋体" w:hAnsi="宋体" w:eastAsia="宋体" w:cs="宋体"/>
          <w:sz w:val="24"/>
          <w:szCs w:val="24"/>
        </w:rPr>
        <w:t>为多层级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的马尔科夫链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（Markov Chain）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不同于依赖单次博弈的统计决策模型，此时，每个决策者的纠错概率</w:t>
      </w:r>
      <m:oMath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1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e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 xml:space="preserve"> </m:t>
        </m:r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和犯错概率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 xml:space="preserve">  </m:t>
        </m:r>
        <m:sSub>
          <m:sSubP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e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形成转移矩阵。</w:t>
      </w:r>
    </w:p>
    <w:p w14:paraId="47173E8A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</w:t>
      </w:r>
      <w:r>
        <w:rPr>
          <w:rFonts w:ascii="宋体" w:hAnsi="宋体" w:eastAsia="宋体" w:cs="宋体"/>
          <w:sz w:val="24"/>
          <w:szCs w:val="24"/>
        </w:rPr>
        <w:t>机制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上，引入人的内生努力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（Endogenous Effort）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不同于</w:t>
      </w:r>
      <w:r>
        <w:rPr>
          <w:rFonts w:ascii="宋体" w:hAnsi="宋体" w:eastAsia="宋体" w:cs="宋体"/>
          <w:sz w:val="24"/>
          <w:szCs w:val="24"/>
        </w:rPr>
        <w:t>传统的外生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假设</w:t>
      </w:r>
      <w:r>
        <w:rPr>
          <w:rFonts w:ascii="宋体" w:hAnsi="宋体" w:eastAsia="宋体" w:cs="宋体"/>
          <w:sz w:val="24"/>
          <w:szCs w:val="24"/>
        </w:rPr>
        <w:t>，本文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Endogenous Effort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融入决策过程</w:t>
      </w:r>
      <w:r>
        <w:rPr>
          <w:rFonts w:ascii="宋体" w:hAnsi="宋体" w:eastAsia="宋体" w:cs="宋体"/>
          <w:sz w:val="24"/>
          <w:szCs w:val="24"/>
        </w:rPr>
        <w:t>，并证明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人的努力动机随着其在决策链中的位置发生不对称变化。</w:t>
      </w:r>
    </w:p>
    <w:p w14:paraId="066B3917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</w:t>
      </w:r>
      <w:r>
        <w:rPr>
          <w:rFonts w:ascii="宋体" w:hAnsi="宋体" w:eastAsia="宋体" w:cs="宋体"/>
          <w:sz w:val="24"/>
          <w:szCs w:val="24"/>
        </w:rPr>
        <w:t>场景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上，量化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AI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的创造性和幻觉（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AI hallucination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不同于二元决策的假定，</w:t>
      </w:r>
      <w:r>
        <w:rPr>
          <w:rFonts w:ascii="宋体" w:hAnsi="宋体" w:eastAsia="宋体" w:cs="宋体"/>
          <w:sz w:val="24"/>
          <w:szCs w:val="24"/>
        </w:rPr>
        <w:t>本文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针对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ascii="宋体" w:hAnsi="宋体" w:eastAsia="宋体" w:cs="宋体"/>
          <w:sz w:val="24"/>
          <w:szCs w:val="24"/>
        </w:rPr>
        <w:t>将决策空间扩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展为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(S, 1, 0)。S代表AI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创造性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结果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。模型在设定AI具备低边际成本的同时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引入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AI幻觉，并将其</w:t>
      </w:r>
      <w:r>
        <w:rPr>
          <w:rFonts w:ascii="宋体" w:hAnsi="宋体" w:eastAsia="宋体" w:cs="宋体"/>
          <w:sz w:val="24"/>
          <w:szCs w:val="24"/>
        </w:rPr>
        <w:t>映射为模型中的第一类错误</w:t>
      </w:r>
      <m:oMath>
        <m:sSub>
          <m:sSub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e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1,AI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ascii="宋体" w:hAnsi="宋体" w:eastAsia="宋体" w:cs="宋体"/>
          <w:sz w:val="24"/>
          <w:szCs w:val="24"/>
        </w:rPr>
        <w:t>。</w:t>
      </w:r>
    </w:p>
    <w:p w14:paraId="2FD16A75">
      <w:pPr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F0897D3">
      <w:pPr>
        <w:rPr>
          <w:rFonts w:hint="eastAsia" w:ascii="华文仿宋" w:hAnsi="华文仿宋" w:eastAsia="华文仿宋"/>
          <w:sz w:val="32"/>
          <w:szCs w:val="28"/>
        </w:rPr>
      </w:pPr>
      <w:r>
        <w:rPr>
          <w:rFonts w:hint="eastAsia" w:ascii="华文仿宋" w:hAnsi="华文仿宋" w:eastAsia="华文仿宋"/>
          <w:sz w:val="32"/>
          <w:szCs w:val="28"/>
          <w:lang w:val="en-US" w:eastAsia="zh-CN"/>
        </w:rPr>
        <w:t>二、</w:t>
      </w:r>
      <w:r>
        <w:rPr>
          <w:rFonts w:hint="eastAsia" w:ascii="华文仿宋" w:hAnsi="华文仿宋" w:eastAsia="华文仿宋"/>
          <w:sz w:val="32"/>
          <w:szCs w:val="28"/>
        </w:rPr>
        <w:t>论文的方法、理论或者数据等亮点（</w:t>
      </w:r>
      <w:r>
        <w:rPr>
          <w:rFonts w:ascii="华文仿宋" w:hAnsi="华文仿宋" w:eastAsia="华文仿宋"/>
          <w:sz w:val="32"/>
          <w:szCs w:val="28"/>
        </w:rPr>
        <w:t>10</w:t>
      </w:r>
      <w:r>
        <w:rPr>
          <w:rFonts w:hint="eastAsia" w:ascii="华文仿宋" w:hAnsi="华文仿宋" w:eastAsia="华文仿宋"/>
          <w:sz w:val="32"/>
          <w:szCs w:val="28"/>
        </w:rPr>
        <w:t>分）</w:t>
      </w:r>
    </w:p>
    <w:p w14:paraId="12DE29D4">
      <w:pPr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①方法：使用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Markov Chain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建模决策链。</w:t>
      </w:r>
      <w:r>
        <w:rPr>
          <w:rFonts w:ascii="宋体" w:hAnsi="宋体" w:eastAsia="宋体" w:cs="宋体"/>
          <w:sz w:val="24"/>
          <w:szCs w:val="24"/>
        </w:rPr>
        <w:t>利用转移矩阵描述决策过程，使复杂的多层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决策</w:t>
      </w:r>
      <w:r>
        <w:rPr>
          <w:rFonts w:ascii="宋体" w:hAnsi="宋体" w:eastAsia="宋体" w:cs="宋体"/>
          <w:sz w:val="24"/>
          <w:szCs w:val="24"/>
        </w:rPr>
        <w:t>问题可以通过矩阵连乘的形式进行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建模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3555037">
      <w:pPr>
        <w:bidi w:val="0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②理论：提取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Invariant Probability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作为降维指标。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作者推导得出</w:t>
      </w:r>
      <m:oMath>
        <m:sSup>
          <m:sSup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e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e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+</m:t>
            </m:r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 xml:space="preserve"> </m:t>
            </m:r>
            <m:sSub>
              <m:sSubP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e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</m:oMath>
      <w:r>
        <w:rPr>
          <w:rFonts w:ascii="宋体" w:hAnsi="宋体" w:eastAsia="宋体" w:cs="宋体"/>
          <w:sz w:val="24"/>
          <w:szCs w:val="24"/>
        </w:rPr>
        <w:t>作为衡量决策质量的一维指标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代表人或机器的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纠错概率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kern w:val="2"/>
            <w:sz w:val="21"/>
            <w:szCs w:val="24"/>
            <w:lang w:val="en-US" w:eastAsia="zh-CN" w:bidi="ar-SA"/>
          </w:rPr>
          <m:t>1−</m:t>
        </m:r>
        <m:sSub>
          <m:sSub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kern w:val="2"/>
                <w:sz w:val="21"/>
                <w:szCs w:val="24"/>
                <w:lang w:val="en-US" w:eastAsia="zh-CN" w:bidi="ar-SA"/>
              </w:rPr>
              <m:t>e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kern w:val="2"/>
            <w:sz w:val="21"/>
            <w:szCs w:val="24"/>
            <w:lang w:val="en-US" w:eastAsia="zh-CN" w:bidi="ar-SA"/>
          </w:rPr>
          <m:t xml:space="preserve"> </m:t>
        </m:r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和犯错概率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kern w:val="2"/>
            <w:sz w:val="21"/>
            <w:szCs w:val="24"/>
            <w:lang w:val="en-US" w:eastAsia="zh-CN" w:bidi="ar-SA"/>
          </w:rPr>
          <m:t xml:space="preserve">  </m:t>
        </m:r>
        <m:sSub>
          <m:sSub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kern w:val="2"/>
                <w:sz w:val="21"/>
                <w:szCs w:val="24"/>
                <w:lang w:val="en-US" w:eastAsia="zh-CN" w:bidi="ar-SA"/>
              </w:rPr>
              <m:t>e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ascii="宋体" w:hAnsi="宋体" w:eastAsia="宋体" w:cs="宋体"/>
          <w:sz w:val="24"/>
          <w:szCs w:val="24"/>
        </w:rPr>
        <w:t>的归一化水平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3061D7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3604CB5">
      <w:pPr>
        <w:rPr>
          <w:rFonts w:hint="eastAsia" w:ascii="华文仿宋" w:hAnsi="华文仿宋" w:eastAsia="华文仿宋"/>
          <w:sz w:val="32"/>
          <w:szCs w:val="28"/>
        </w:rPr>
      </w:pPr>
      <w:r>
        <w:rPr>
          <w:rFonts w:hint="eastAsia" w:ascii="华文仿宋" w:hAnsi="华文仿宋" w:eastAsia="华文仿宋"/>
          <w:sz w:val="32"/>
          <w:szCs w:val="28"/>
          <w:lang w:val="en-US" w:eastAsia="zh-CN"/>
        </w:rPr>
        <w:t>三、</w:t>
      </w:r>
      <w:r>
        <w:rPr>
          <w:rFonts w:hint="eastAsia" w:ascii="华文仿宋" w:hAnsi="华文仿宋" w:eastAsia="华文仿宋"/>
          <w:sz w:val="32"/>
          <w:szCs w:val="28"/>
        </w:rPr>
        <w:t>论文能在顶级期刊上发表的可能原因（</w:t>
      </w:r>
      <w:r>
        <w:rPr>
          <w:rFonts w:ascii="华文仿宋" w:hAnsi="华文仿宋" w:eastAsia="华文仿宋"/>
          <w:sz w:val="32"/>
          <w:szCs w:val="28"/>
        </w:rPr>
        <w:t>10</w:t>
      </w:r>
      <w:r>
        <w:rPr>
          <w:rFonts w:hint="eastAsia" w:ascii="华文仿宋" w:hAnsi="华文仿宋" w:eastAsia="华文仿宋"/>
          <w:sz w:val="32"/>
          <w:szCs w:val="28"/>
        </w:rPr>
        <w:t>分）</w:t>
      </w:r>
    </w:p>
    <w:p w14:paraId="40016D3B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①量化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的痛点与优势：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幻觉与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创造性；</w:t>
      </w:r>
    </w:p>
    <w:p w14:paraId="3E39B783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②讨论当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下前沿且热门的命题：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AI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是否应该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取代人类做最终决定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。结论是AI是否应该取代人类，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关键在于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创造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性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以及出现幻觉的概率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</w:t>
      </w:r>
    </w:p>
    <w:p w14:paraId="1B07C7DD">
      <w:pPr>
        <w:ind w:firstLine="480" w:firstLineChars="20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③结论打破直觉：在A=2、T=1时，基本法则（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Rule of thumb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指出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最终决策者的重要特征是引入新错误概率更低，而不是纠错能力最强，打破人类应该作为最终决策者的直觉；</w:t>
      </w:r>
    </w:p>
    <w:p w14:paraId="1A918490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④研究具有实际价值，并对经典委托代理理论进行创新：人的努力动机随决策位置发生不对称变化，</w:t>
      </w:r>
      <w:r>
        <w:rPr>
          <w:rFonts w:ascii="宋体" w:hAnsi="宋体" w:eastAsia="宋体" w:cs="宋体"/>
          <w:sz w:val="24"/>
          <w:szCs w:val="24"/>
        </w:rPr>
        <w:t>当决策权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被</w:t>
      </w:r>
      <w:r>
        <w:rPr>
          <w:rFonts w:ascii="宋体" w:hAnsi="宋体" w:eastAsia="宋体" w:cs="宋体"/>
          <w:sz w:val="24"/>
          <w:szCs w:val="24"/>
        </w:rPr>
        <w:t>下放给多层代理人时，最优排序需要综合衡量员工的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skill level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q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n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)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loyalty(</w:t>
      </w:r>
      <m:oMath>
        <m:sSub>
          <m:sSubPr>
            <m:ctrlPr>
              <w:rPr>
                <w:rFonts w:hint="eastAsia" w:ascii="Cambria Math" w:hAnsi="Times New Roman" w:eastAsia="宋体" w:cs="Times New Roman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lang w:val="en-US" w:eastAsia="zh-CN" w:bidi="ar-SA"/>
              </w:rPr>
              <m:t>U</m:t>
            </m:r>
            <m:ctrlPr>
              <w:rPr>
                <w:rFonts w:hint="eastAsia" w:ascii="Cambria Math" w:hAnsi="Times New Roman" w:eastAsia="宋体" w:cs="Times New Roman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eastAsia" w:ascii="Cambria Math" w:hAnsi="Times New Roman" w:eastAsia="宋体" w:cs="Times New Roman"/>
                <w:sz w:val="24"/>
                <w:szCs w:val="24"/>
                <w:lang w:val="en-US" w:eastAsia="zh-CN"/>
              </w:rPr>
              <m:t>n</m:t>
            </m:r>
            <m:ctrlPr>
              <w:rPr>
                <w:rFonts w:hint="eastAsia" w:ascii="Cambria Math" w:hAnsi="Times New Roman" w:eastAsia="宋体" w:cs="Times New Roman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Times New Roman" w:eastAsia="宋体" w:cs="Times New Roman"/>
          <w:i w:val="0"/>
          <w:sz w:val="24"/>
          <w:szCs w:val="24"/>
          <w:lang w:val="en-US" w:eastAsia="zh-CN"/>
        </w:rPr>
        <w:t>)</w:t>
      </w:r>
      <w:r>
        <w:rPr>
          <w:rFonts w:ascii="宋体" w:hAnsi="宋体" w:eastAsia="宋体" w:cs="宋体"/>
          <w:sz w:val="24"/>
          <w:szCs w:val="24"/>
        </w:rPr>
        <w:t>以及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mistakes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q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n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m:rPr/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  <m:t>‘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p>
        </m:sSubSup>
      </m:oMath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)</w:t>
      </w:r>
      <w:r>
        <w:rPr>
          <w:rFonts w:ascii="宋体" w:hAnsi="宋体" w:eastAsia="宋体" w:cs="宋体"/>
          <w:sz w:val="24"/>
          <w:szCs w:val="24"/>
        </w:rPr>
        <w:t>。</w:t>
      </w:r>
      <w:bookmarkStart w:id="0" w:name="_GoBack"/>
      <w:bookmarkEnd w:id="0"/>
    </w:p>
    <w:p w14:paraId="1FCFDD5A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⑤结论具有完备性、严谨性：综合论证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8个proposition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，分别对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A=2、T=1；T≥2；A≥3进行论证。覆盖了从外生假设到内生假设，从理论推演到现实应用的全场景。</w:t>
      </w:r>
    </w:p>
    <w:p w14:paraId="38DD43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E11109E">
      <w:pPr>
        <w:rPr>
          <w:rFonts w:hint="eastAsia" w:ascii="华文仿宋" w:hAnsi="华文仿宋" w:eastAsia="华文仿宋"/>
          <w:sz w:val="32"/>
          <w:szCs w:val="28"/>
        </w:rPr>
      </w:pPr>
      <w:r>
        <w:rPr>
          <w:rFonts w:hint="eastAsia" w:ascii="华文仿宋" w:hAnsi="华文仿宋" w:eastAsia="华文仿宋"/>
          <w:sz w:val="32"/>
          <w:szCs w:val="28"/>
          <w:lang w:val="en-US" w:eastAsia="zh-CN"/>
        </w:rPr>
        <w:t>四、</w:t>
      </w:r>
      <w:r>
        <w:rPr>
          <w:rFonts w:hint="eastAsia" w:ascii="华文仿宋" w:hAnsi="华文仿宋" w:eastAsia="华文仿宋"/>
          <w:sz w:val="32"/>
          <w:szCs w:val="28"/>
        </w:rPr>
        <w:t>论文的实践意义和启示（</w:t>
      </w:r>
      <w:r>
        <w:rPr>
          <w:rFonts w:ascii="华文仿宋" w:hAnsi="华文仿宋" w:eastAsia="华文仿宋"/>
          <w:sz w:val="32"/>
          <w:szCs w:val="28"/>
        </w:rPr>
        <w:t>10</w:t>
      </w:r>
      <w:r>
        <w:rPr>
          <w:rFonts w:hint="eastAsia" w:ascii="华文仿宋" w:hAnsi="华文仿宋" w:eastAsia="华文仿宋"/>
          <w:sz w:val="32"/>
          <w:szCs w:val="28"/>
        </w:rPr>
        <w:t>分）</w:t>
      </w:r>
    </w:p>
    <w:p w14:paraId="7F4C6B86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①人机协作与最终决策权：如果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AI的幻觉频率足够低，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那么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AI就应该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掌握最终决策权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。企业应该进行高效的资源分配，把精力转移到决策前端的创新与纠错上。</w:t>
      </w:r>
    </w:p>
    <w:p w14:paraId="5351329C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②信贷与风控审批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≥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2时，初筛和复审的工作在算法和人工之间的分配没有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固定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答案。企业应该针对不同的风险成本对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工作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顺序进行动态调整。</w:t>
      </w:r>
    </w:p>
    <w:p w14:paraId="24B68054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③团队努力方向的不对称性分配：</w:t>
      </w:r>
      <w:r>
        <w:rPr>
          <w:rFonts w:ascii="宋体" w:hAnsi="宋体" w:eastAsia="宋体" w:cs="宋体"/>
          <w:sz w:val="24"/>
          <w:szCs w:val="24"/>
        </w:rPr>
        <w:t>企业应明确各环节的职责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初审团队（链条前端）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应关注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type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2 error</w:t>
      </w:r>
      <w:r>
        <w:rPr>
          <w:rFonts w:ascii="宋体" w:hAnsi="宋体" w:eastAsia="宋体" w:cs="宋体"/>
          <w:sz w:val="24"/>
          <w:szCs w:val="24"/>
        </w:rPr>
        <w:t>；终审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团队</w:t>
      </w:r>
      <w:r>
        <w:rPr>
          <w:rFonts w:ascii="宋体" w:hAnsi="宋体" w:eastAsia="宋体" w:cs="宋体"/>
          <w:sz w:val="24"/>
          <w:szCs w:val="24"/>
        </w:rPr>
        <w:t>（链条末端）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应关注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type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1 error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0401039E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④多层级放权的量化指标：</w:t>
      </w:r>
      <w:r>
        <w:rPr>
          <w:rFonts w:ascii="宋体" w:hAnsi="宋体" w:eastAsia="宋体" w:cs="宋体"/>
          <w:sz w:val="24"/>
          <w:szCs w:val="24"/>
        </w:rPr>
        <w:t>在设计内部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决策</w:t>
      </w:r>
      <w:r>
        <w:rPr>
          <w:rFonts w:ascii="宋体" w:hAnsi="宋体" w:eastAsia="宋体" w:cs="宋体"/>
          <w:sz w:val="24"/>
          <w:szCs w:val="24"/>
        </w:rPr>
        <w:t>链条时，不能仅关注下属的专业技能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</w:t>
      </w:r>
      <w:r>
        <w:rPr>
          <w:rFonts w:ascii="宋体" w:hAnsi="宋体" w:eastAsia="宋体" w:cs="宋体"/>
          <w:sz w:val="24"/>
          <w:szCs w:val="24"/>
        </w:rPr>
        <w:t>将下属的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skill level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q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n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)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loyalty(</w:t>
      </w:r>
      <m:oMath>
        <m:sSub>
          <m:sSubPr>
            <m:ctrlPr>
              <w:rPr>
                <w:rFonts w:hint="eastAsia" w:ascii="Cambria Math" w:hAnsi="Times New Roman" w:eastAsia="宋体" w:cs="Times New Roman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kern w:val="2"/>
                <w:sz w:val="24"/>
                <w:szCs w:val="24"/>
                <w:lang w:val="en-US" w:eastAsia="zh-CN" w:bidi="ar-SA"/>
              </w:rPr>
              <m:t>U</m:t>
            </m:r>
            <m:ctrlPr>
              <w:rPr>
                <w:rFonts w:hint="eastAsia" w:ascii="Cambria Math" w:hAnsi="Times New Roman" w:eastAsia="宋体" w:cs="Times New Roman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eastAsia" w:ascii="Cambria Math" w:hAnsi="Times New Roman" w:eastAsia="宋体" w:cs="Times New Roman"/>
                <w:sz w:val="24"/>
                <w:szCs w:val="24"/>
                <w:lang w:val="en-US" w:eastAsia="zh-CN"/>
              </w:rPr>
              <m:t>n</m:t>
            </m:r>
            <m:ctrlPr>
              <w:rPr>
                <w:rFonts w:hint="eastAsia" w:ascii="Cambria Math" w:hAnsi="Times New Roman" w:eastAsia="宋体" w:cs="Times New Roman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Times New Roman" w:eastAsia="宋体" w:cs="Times New Roman"/>
          <w:i w:val="0"/>
          <w:sz w:val="24"/>
          <w:szCs w:val="24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、mistakes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q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n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m:rPr/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  <m:t>‘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p>
        </m:sSubSup>
      </m:oMath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)</w:t>
      </w:r>
      <w:r>
        <w:rPr>
          <w:rFonts w:ascii="宋体" w:hAnsi="宋体" w:eastAsia="宋体" w:cs="宋体"/>
          <w:sz w:val="24"/>
          <w:szCs w:val="24"/>
        </w:rPr>
        <w:t>进行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综合</w:t>
      </w:r>
      <w:r>
        <w:rPr>
          <w:rFonts w:ascii="宋体" w:hAnsi="宋体" w:eastAsia="宋体" w:cs="宋体"/>
          <w:sz w:val="24"/>
          <w:szCs w:val="24"/>
        </w:rPr>
        <w:t>排序。如果团队成员都不会犯错，那么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排序</w:t>
      </w:r>
      <w:r>
        <w:rPr>
          <w:rFonts w:ascii="宋体" w:hAnsi="宋体" w:eastAsia="宋体" w:cs="宋体"/>
          <w:sz w:val="24"/>
          <w:szCs w:val="24"/>
        </w:rPr>
        <w:t>完全取决于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loyalty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3605AEBC">
      <w:pPr>
        <w:rPr>
          <w:rFonts w:ascii="华文仿宋" w:hAnsi="华文仿宋" w:eastAsia="华文仿宋"/>
          <w:sz w:val="32"/>
          <w:szCs w:val="28"/>
        </w:rPr>
      </w:pPr>
      <w:r>
        <w:rPr>
          <w:rFonts w:hint="eastAsia" w:ascii="华文仿宋" w:hAnsi="华文仿宋" w:eastAsia="华文仿宋"/>
          <w:sz w:val="32"/>
          <w:szCs w:val="28"/>
          <w:lang w:val="en-US" w:eastAsia="zh-CN"/>
        </w:rPr>
        <w:t>五、</w:t>
      </w:r>
      <w:r>
        <w:rPr>
          <w:rFonts w:hint="eastAsia" w:ascii="华文仿宋" w:hAnsi="华文仿宋" w:eastAsia="华文仿宋"/>
          <w:sz w:val="32"/>
          <w:szCs w:val="28"/>
        </w:rPr>
        <w:t>基于论文，重点阐述未来的研究设想（</w:t>
      </w:r>
      <w:r>
        <w:rPr>
          <w:rFonts w:ascii="华文仿宋" w:hAnsi="华文仿宋" w:eastAsia="华文仿宋"/>
          <w:sz w:val="32"/>
          <w:szCs w:val="28"/>
        </w:rPr>
        <w:t>60</w:t>
      </w:r>
      <w:r>
        <w:rPr>
          <w:rFonts w:hint="eastAsia" w:ascii="华文仿宋" w:hAnsi="华文仿宋" w:eastAsia="华文仿宋"/>
          <w:sz w:val="32"/>
          <w:szCs w:val="28"/>
        </w:rPr>
        <w:t>分）</w:t>
      </w:r>
    </w:p>
    <w:p w14:paraId="28517C29">
      <w:p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１.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基于人机交互情景的精算定价</w:t>
      </w:r>
    </w:p>
    <w:p w14:paraId="5221BA04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传统的车险、健康险定价建立在被保险人的过错责任上，然而对于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智驾或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医疗，决策链变成：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初步决策、人类最终决策。此时</w:t>
      </w:r>
      <w:r>
        <w:rPr>
          <w:rFonts w:ascii="宋体" w:hAnsi="宋体" w:eastAsia="宋体" w:cs="宋体"/>
          <w:sz w:val="24"/>
          <w:szCs w:val="24"/>
        </w:rPr>
        <w:t>传统的风险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责任</w:t>
      </w:r>
      <w:r>
        <w:rPr>
          <w:rFonts w:ascii="宋体" w:hAnsi="宋体" w:eastAsia="宋体" w:cs="宋体"/>
          <w:sz w:val="24"/>
          <w:szCs w:val="24"/>
        </w:rPr>
        <w:t>主体发生转移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责任界定变得模糊。因此未来的研究方向可以基于量化人机交互中的责任分配系数展开，并设计差异化费率。</w:t>
      </w:r>
    </w:p>
    <w:p w14:paraId="6514202C">
      <w:p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我曾参与精算青年论坛，针对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智驾的产品定价还需要考虑法律因素，这里仅考虑数学层面。</w:t>
      </w:r>
    </w:p>
    <w:p w14:paraId="321846D1">
      <w:pPr>
        <w:bidi w:val="0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①决策矩阵：可以参考论文中引入人的内生努力（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Endogenous Effort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做法，设定初始</w:t>
      </w:r>
      <w:r>
        <w:rPr>
          <w:rFonts w:ascii="宋体" w:hAnsi="宋体" w:eastAsia="宋体" w:cs="宋体"/>
          <w:sz w:val="24"/>
          <w:szCs w:val="24"/>
        </w:rPr>
        <w:t>先验分布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ascii="宋体" w:hAnsi="宋体" w:eastAsia="宋体" w:cs="宋体"/>
          <w:sz w:val="24"/>
          <w:szCs w:val="24"/>
        </w:rPr>
        <w:t>以零边际成本先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做出</w:t>
      </w:r>
      <w:r>
        <w:rPr>
          <w:rFonts w:ascii="宋体" w:hAnsi="宋体" w:eastAsia="宋体" w:cs="宋体"/>
          <w:sz w:val="24"/>
          <w:szCs w:val="24"/>
        </w:rPr>
        <w:t>判断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决策矩阵：</w:t>
      </w:r>
      <m:oMath>
        <m:sSub>
          <m:sSubPr>
            <m:ctrlPr>
              <w:rPr>
                <w:rFonts w:ascii="Cambria Math" w:hAnsi="Cambria Math" w:cs="Cambria Math"/>
                <w:i/>
                <w:kern w:val="2"/>
                <w:sz w:val="21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M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4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eastAsia" w:hAnsi="Cambria Math" w:cs="Cambria Math"/>
                <w:kern w:val="2"/>
                <w:sz w:val="21"/>
                <w:szCs w:val="24"/>
                <w:lang w:val="en-US" w:eastAsia="zh-CN" w:bidi="ar-SA"/>
              </w:rPr>
              <m:t>AI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4"/>
                <w:lang w:val="en-US" w:bidi="ar-SA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eastAsia="zh-CN"/>
        </w:rPr>
        <w:t>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人类以概率</w:t>
      </w:r>
      <m:oMath>
        <m:sSub>
          <m:sSub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π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做出的决策进行审核（人类决策矩阵：</w:t>
      </w:r>
      <m:oMath>
        <m:sSub>
          <m:sSubPr>
            <m:ctrlPr>
              <w:rPr>
                <w:rFonts w:ascii="Cambria Math" w:hAnsi="Cambria Math" w:cs="Cambria Math"/>
                <w:i/>
                <w:kern w:val="2"/>
                <w:sz w:val="21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M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H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4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=(1−</m:t>
        </m:r>
        <m:sSub>
          <m:sSub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π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)∙</m:t>
        </m:r>
        <m:sSub>
          <m:sSubPr>
            <m:ctrlPr>
              <w:rPr>
                <w:rFonts w:hint="eastAsia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HI</m:t>
            </m:r>
            <m:ctrlPr>
              <w:rPr>
                <w:rFonts w:hint="eastAsia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π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∙</m:t>
        </m:r>
        <m:sSub>
          <m:sSubPr>
            <m:ctrlPr>
              <w:rPr>
                <w:rFonts w:ascii="Cambria Math" w:hAnsi="Cambria Math" w:cs="Cambria Math"/>
                <w:i/>
                <w:kern w:val="2"/>
                <w:sz w:val="21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M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HH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4"/>
                <w:lang w:val="en-US" w:bidi="ar-SA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）。</w:t>
      </w:r>
    </w:p>
    <w:p w14:paraId="21E777AA">
      <w:pPr>
        <w:bidi w:val="0"/>
        <w:ind w:firstLine="480" w:firstLineChars="200"/>
        <w:rPr>
          <w:rFonts w:hint="eastAsia" w:hAnsi="Times New Roman" w:eastAsia="宋体" w:cs="Times New Roman"/>
          <w:b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②责任界定：参考精算学中的比例保险，设定内生责任分配系数</w:t>
      </w:r>
      <m:oMath>
        <m:r>
          <m:rPr>
            <m:sty m:val="p"/>
          </m:rPr>
          <w:rPr>
            <w:rFonts w:hint="default" w:ascii="Times New Roman" w:hAnsi="Times New Roman" w:eastAsia="宋体" w:cs="Times New Roman"/>
            <w:sz w:val="24"/>
            <w:szCs w:val="24"/>
            <w:lang w:val="en-US" w:eastAsia="zh-CN"/>
          </w:rPr>
          <m:t>α</m:t>
        </m:r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代表</w:t>
      </w:r>
      <w:r>
        <w:rPr>
          <w:rFonts w:hint="default" w:ascii="Times New Roman" w:hAnsi="Times New Roman" w:eastAsia="宋体" w:cs="Times New Roman"/>
          <w:sz w:val="24"/>
          <w:szCs w:val="24"/>
        </w:rPr>
        <w:t>AI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提供方</w:t>
      </w:r>
      <w:r>
        <w:rPr>
          <w:rFonts w:ascii="宋体" w:hAnsi="宋体" w:eastAsia="宋体" w:cs="宋体"/>
          <w:sz w:val="24"/>
          <w:szCs w:val="24"/>
        </w:rPr>
        <w:t>需要承担的损失比例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m:oMath>
        <m:r>
          <m:rPr>
            <m:sty m:val="p"/>
          </m:rPr>
          <w:rPr>
            <w:rFonts w:hint="default" w:ascii="Times New Roman" w:hAnsi="Times New Roman" w:eastAsia="宋体" w:cs="Times New Roman"/>
            <w:sz w:val="24"/>
            <w:szCs w:val="24"/>
            <w:lang w:val="en-US" w:eastAsia="zh-CN"/>
          </w:rPr>
          <m:t>α</m:t>
        </m:r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是中间决策路径的函数。若最终交通事故和医疗事故来源于决策前端的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幻觉（</w:t>
      </w:r>
      <m:oMath>
        <m:sSub>
          <m:sSub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e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1,AI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），且该决策传导至人类决策层时，相关人员未能纠正（</w:t>
      </w:r>
      <m:oMath>
        <m:sSub>
          <m:sSub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e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2,H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），此时应该增大</w:t>
      </w:r>
      <m:oMath>
        <m:r>
          <m:rPr>
            <m:sty m:val="p"/>
          </m:rPr>
          <w:rPr>
            <w:rFonts w:hint="default" w:ascii="Times New Roman" w:hAnsi="Times New Roman" w:eastAsia="宋体" w:cs="Times New Roman"/>
            <w:sz w:val="24"/>
            <w:szCs w:val="24"/>
            <w:lang w:val="en-US" w:eastAsia="zh-CN"/>
          </w:rPr>
          <m:t>α</m:t>
        </m:r>
      </m:oMath>
      <w:r>
        <w:rPr>
          <w:rFonts w:hint="eastAsia" w:hAnsi="Times New Roman" w:eastAsia="宋体" w:cs="Times New Roman"/>
          <w:b w:val="0"/>
          <w:i w:val="0"/>
          <w:sz w:val="24"/>
          <w:szCs w:val="24"/>
          <w:lang w:val="en-US" w:eastAsia="zh-CN"/>
        </w:rPr>
        <w:t>。</w:t>
      </w:r>
    </w:p>
    <w:p w14:paraId="789E3903">
      <w:pPr>
        <w:ind w:firstLine="480" w:firstLineChars="200"/>
        <w:rPr>
          <w:rFonts w:hint="eastAsia" w:ascii="Times New Roman" w:hAnsi="Times New Roman" w:eastAsia="宋体" w:cs="Times New Roman"/>
          <w:b w:val="0"/>
          <w:i w:val="0"/>
          <w:sz w:val="24"/>
          <w:szCs w:val="24"/>
          <w:lang w:val="en-US" w:eastAsia="zh-CN"/>
        </w:rPr>
      </w:pPr>
      <w:r>
        <w:rPr>
          <w:rFonts w:hint="eastAsia" w:hAnsi="Times New Roman" w:eastAsia="宋体" w:cs="Times New Roman"/>
          <w:b w:val="0"/>
          <w:i w:val="0"/>
          <w:sz w:val="24"/>
          <w:szCs w:val="24"/>
          <w:lang w:val="en-US" w:eastAsia="zh-CN"/>
        </w:rPr>
        <w:t>③</w:t>
      </w:r>
      <w:r>
        <w:rPr>
          <w:rFonts w:hint="default" w:ascii="Times New Roman" w:hAnsi="Times New Roman" w:eastAsia="宋体" w:cs="Times New Roman"/>
          <w:b w:val="0"/>
          <w:i w:val="0"/>
          <w:sz w:val="24"/>
          <w:szCs w:val="24"/>
          <w:lang w:val="en-US" w:eastAsia="zh-CN"/>
        </w:rPr>
        <w:t>GLM定</w:t>
      </w:r>
      <w:r>
        <w:rPr>
          <w:rFonts w:hint="eastAsia" w:hAnsi="Times New Roman" w:eastAsia="宋体" w:cs="Times New Roman"/>
          <w:b w:val="0"/>
          <w:i w:val="0"/>
          <w:sz w:val="24"/>
          <w:szCs w:val="24"/>
          <w:lang w:val="en-US" w:eastAsia="zh-CN"/>
        </w:rPr>
        <w:t>价：产品定价的核心在于精算平衡，对于整体系统风险的纯</w:t>
      </w:r>
      <w:r>
        <w:rPr>
          <w:rFonts w:hint="eastAsia" w:ascii="Times New Roman" w:hAnsi="Times New Roman" w:eastAsia="宋体" w:cs="Times New Roman"/>
          <w:b w:val="0"/>
          <w:i w:val="0"/>
          <w:sz w:val="24"/>
          <w:szCs w:val="24"/>
          <w:lang w:val="en-US" w:eastAsia="zh-CN"/>
        </w:rPr>
        <w:t>保费</w:t>
      </w:r>
      <w:r>
        <w:rPr>
          <w:rFonts w:hint="default" w:ascii="Times New Roman" w:hAnsi="Times New Roman" w:eastAsia="宋体" w:cs="Times New Roman"/>
          <w:sz w:val="24"/>
          <w:szCs w:val="24"/>
        </w:rPr>
        <w:t>Premium</w:t>
      </w:r>
      <w:r>
        <w:rPr>
          <w:rFonts w:hint="eastAsia" w:ascii="Times New Roman" w:hAnsi="Times New Roman" w:eastAsia="宋体" w:cs="Times New Roman"/>
          <w:b w:val="0"/>
          <w:i w:val="0"/>
          <w:sz w:val="24"/>
          <w:szCs w:val="24"/>
          <w:lang w:val="en-US" w:eastAsia="zh-CN"/>
        </w:rPr>
        <w:t>，引入非寿险精算中的GLM方法。以车险定价为例，常用假设为事故频率服从Poisson，事故强度服从Gamma，使用对数连接函数。将人机交互中的AI幻觉率</w:t>
      </w:r>
      <m:oMath>
        <m:sSub>
          <m:sSub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e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1,AI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b w:val="0"/>
          <w:i w:val="0"/>
          <w:sz w:val="24"/>
          <w:szCs w:val="24"/>
          <w:lang w:val="en-US" w:eastAsia="zh-CN"/>
        </w:rPr>
        <w:t>、人工审核率</w:t>
      </w:r>
      <m:oMath>
        <m:sSub>
          <m:sSub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π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b w:val="0"/>
          <w:i w:val="0"/>
          <w:sz w:val="24"/>
          <w:szCs w:val="24"/>
          <w:lang w:val="en-US" w:eastAsia="zh-CN"/>
        </w:rPr>
        <w:t>、人类错误率</w:t>
      </w:r>
      <m:oMath>
        <m:sSub>
          <m:sSub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e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1,H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b w:val="0"/>
          <w:i w:val="0"/>
          <w:sz w:val="24"/>
          <w:szCs w:val="24"/>
          <w:lang w:val="en-US" w:eastAsia="zh-CN"/>
        </w:rPr>
        <w:t>等作为协变量加入GLM：</w:t>
      </w:r>
    </w:p>
    <w:p w14:paraId="5A77AA40">
      <w:pPr>
        <w:ind w:firstLine="480" w:firstLineChars="200"/>
        <w:rPr>
          <w:rFonts w:hint="default" w:ascii="Cambria Math" w:hAnsi="Cambria Math" w:cs="Cambria Math"/>
          <w:i/>
          <w:sz w:val="24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r>
                <m:rPr/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β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func>
          <m:r>
            <m:rPr/>
            <w:rPr>
              <w:rFonts w:hint="default" w:ascii="Cambria Math" w:hAnsi="Cambria Math" w:cs="Cambria Math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β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e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1,AI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β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kern w:val="2"/>
                  <w:sz w:val="21"/>
                  <w:szCs w:val="24"/>
                  <w:lang w:val="en-US" w:bidi="ar-SA"/>
                </w:rPr>
                <m:t>π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β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sz w:val="24"/>
                  <w:szCs w:val="24"/>
                  <w:lang w:val="en-US" w:eastAsia="zh-CN"/>
                </w:rPr>
                <m:t>3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4"/>
                      <w:lang w:val="en-US" w:bidi="ar-SA"/>
                    </w:rPr>
                    <m:t>π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4"/>
                      <w:lang w:val="en-US" w:bidi="ar-SA"/>
                    </w:rPr>
                    <m:t>∙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lang w:val="en-US" w:eastAsia="zh-CN" w:bidi="ar-SA"/>
                    </w:rPr>
                    <m:t>e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lang w:val="en-US" w:eastAsia="zh-CN" w:bidi="ar-SA"/>
                    </w:rPr>
                    <m:t>1,H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d>
          <m:r>
            <m:rPr/>
            <w:rPr>
              <w:rFonts w:hint="default" w:ascii="Cambria Math" w:hAnsi="Cambria Math" w:cs="Cambria Math"/>
              <w:sz w:val="24"/>
              <w:szCs w:val="24"/>
              <w:lang w:val="en-US"/>
            </w:rPr>
            <m:t>+⋯</m:t>
          </m:r>
        </m:oMath>
      </m:oMathPara>
    </w:p>
    <w:p w14:paraId="5587BE90">
      <w:pPr>
        <w:ind w:firstLine="480" w:firstLineChars="200"/>
        <w:rPr>
          <w:rFonts w:hint="eastAsia" w:ascii="Times New Roman" w:hAnsi="Times New Roman" w:eastAsia="宋体" w:cs="Times New Roman"/>
          <w:b w:val="0"/>
          <w:i w:val="0"/>
          <w:sz w:val="24"/>
          <w:szCs w:val="24"/>
          <w:lang w:val="en-US" w:eastAsia="zh-CN"/>
        </w:rPr>
      </w:pPr>
      <w:r>
        <w:rPr>
          <w:rFonts w:hint="eastAsia" w:hAnsi="Times New Roman" w:eastAsia="宋体" w:cs="Times New Roman"/>
          <w:b w:val="0"/>
          <w:i w:val="0"/>
          <w:sz w:val="24"/>
          <w:szCs w:val="24"/>
          <w:lang w:val="en-US" w:eastAsia="zh-CN"/>
        </w:rPr>
        <w:t>此时总损失</w:t>
      </w:r>
      <w:r>
        <w:rPr>
          <w:rFonts w:hint="default" w:ascii="Times New Roman" w:hAnsi="Times New Roman" w:eastAsia="宋体" w:cs="Times New Roman"/>
          <w:sz w:val="24"/>
          <w:szCs w:val="24"/>
        </w:rPr>
        <w:t>Premium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服从复合Poisson</w:t>
      </w:r>
      <w:r>
        <w:rPr>
          <w:rFonts w:hint="eastAsia" w:ascii="Times New Roman" w:hAnsi="Times New Roman" w:eastAsia="宋体" w:cs="Times New Roman"/>
          <w:b w:val="0"/>
          <w:i w:val="0"/>
          <w:sz w:val="24"/>
          <w:szCs w:val="24"/>
          <w:lang w:val="en-US" w:eastAsia="zh-CN"/>
        </w:rPr>
        <w:t>，期望</w:t>
      </w:r>
      <m:oMath>
        <m:r>
          <m:rPr>
            <m:sty m:val="p"/>
          </m:rPr>
          <w:rPr>
            <w:rFonts w:hint="default" w:ascii="Times New Roman" w:hAnsi="Times New Roman" w:eastAsia="宋体" w:cs="Times New Roman"/>
            <w:sz w:val="24"/>
            <w:szCs w:val="24"/>
          </w:rPr>
          <m:t>P</m:t>
        </m:r>
        <m:r>
          <m:rPr>
            <m:sty m:val="p"/>
          </m:rPr>
          <w:rPr>
            <w:rFonts w:hint="default" w:ascii="Cambria Math" w:hAnsi="Cambria Math" w:eastAsia="宋体" w:cs="Cambria Math"/>
            <w:sz w:val="24"/>
            <w:szCs w:val="24"/>
          </w:rPr>
          <m:t>=Ε</m:t>
        </m:r>
        <m:d>
          <m:dPr>
            <m:ctrlPr>
              <w:rPr>
                <w:rFonts w:hint="default" w:ascii="Cambria Math" w:hAnsi="Cambria Math" w:eastAsia="宋体" w:cs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Ν</m:t>
            </m:r>
            <m:ctrlPr>
              <w:rPr>
                <w:rFonts w:hint="default" w:ascii="Cambria Math" w:hAnsi="Cambria Math" w:eastAsia="宋体" w:cs="Cambria Math"/>
                <w:sz w:val="24"/>
                <w:szCs w:val="24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Cambria Math"/>
            <w:sz w:val="24"/>
            <w:szCs w:val="24"/>
          </w:rPr>
          <m:t>Ε</m:t>
        </m:r>
        <m:d>
          <m:dPr>
            <m:ctrlPr>
              <w:rPr>
                <w:rFonts w:hint="default" w:ascii="Cambria Math" w:hAnsi="Cambria Math" w:eastAsia="宋体" w:cs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Χ</m:t>
            </m:r>
            <m:ctrlPr>
              <w:rPr>
                <w:rFonts w:hint="default" w:ascii="Cambria Math" w:hAnsi="Cambria Math" w:eastAsia="宋体" w:cs="Cambria Math"/>
                <w:sz w:val="24"/>
                <w:szCs w:val="24"/>
              </w:rPr>
            </m:ctrlPr>
          </m:e>
        </m:d>
      </m:oMath>
      <w:r>
        <w:rPr>
          <w:rFonts w:hint="eastAsia" w:hAnsi="Cambria Math" w:eastAsia="宋体" w:cs="Cambria Math"/>
          <w:i w:val="0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宋体" w:cs="Times New Roman"/>
          <w:b w:val="0"/>
          <w:i w:val="0"/>
          <w:sz w:val="24"/>
          <w:szCs w:val="24"/>
          <w:lang w:val="en-US" w:eastAsia="zh-CN"/>
        </w:rPr>
        <w:t>考虑精算安全系数</w:t>
      </w:r>
      <m:oMath>
        <m:r>
          <m:rPr/>
          <w:rPr>
            <w:rFonts w:ascii="Cambria Math" w:hAnsi="Cambria Math" w:cs="Cambria Math"/>
            <w:sz w:val="24"/>
            <w:szCs w:val="24"/>
            <w:lang w:val="en-US"/>
          </w:rPr>
          <m:t>θ</m:t>
        </m:r>
      </m:oMath>
      <w:r>
        <w:rPr>
          <w:rFonts w:hint="eastAsia" w:ascii="Times New Roman" w:hAnsi="Times New Roman" w:eastAsia="宋体" w:cs="Times New Roman"/>
          <w:b w:val="0"/>
          <w:i w:val="0"/>
          <w:sz w:val="24"/>
          <w:szCs w:val="24"/>
          <w:lang w:val="en-US" w:eastAsia="zh-CN"/>
        </w:rPr>
        <w:t>，此时依据比例风险保费原则，AI和人类的风险责任为：</w:t>
      </w:r>
    </w:p>
    <w:p w14:paraId="008DD879">
      <w:pPr>
        <w:ind w:firstLine="480" w:firstLineChars="200"/>
        <w:rPr>
          <w:rFonts w:hint="default" w:hAnsi="Cambria Math" w:eastAsia="宋体" w:cs="Cambria Math"/>
          <w:b w:val="0"/>
          <w:i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sz w:val="24"/>
                  <w:szCs w:val="24"/>
                </w:rPr>
                <m:t>Premium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AI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Cambria Math"/>
              <w:sz w:val="24"/>
              <w:szCs w:val="24"/>
              <w:lang w:val="en-US"/>
            </w:rPr>
            <m:t>=α×</m:t>
          </m:r>
          <m:r>
            <m:rPr>
              <m:sty m:val="p"/>
            </m:rPr>
            <w:rPr>
              <w:rFonts w:hint="default" w:ascii="Times New Roman" w:hAnsi="Times New Roman" w:eastAsia="宋体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hint="default" w:ascii="Cambria Math" w:hAnsi="Cambria Math" w:eastAsia="宋体" w:cs="Cambria Math"/>
              <w:sz w:val="24"/>
              <w:szCs w:val="24"/>
            </w:rPr>
            <m:t>×</m:t>
          </m:r>
          <m:d>
            <m:dPr>
              <m:ctrlPr>
                <w:rPr>
                  <w:rFonts w:hint="default" w:ascii="Cambria Math" w:hAnsi="Cambria Math" w:eastAsia="宋体" w:cs="Cambria Math"/>
                  <w:b w:val="0"/>
                  <w:i w:val="0"/>
                  <w:sz w:val="24"/>
                  <w:szCs w:val="24"/>
                </w:rPr>
              </m:ctrlPr>
            </m:dPr>
            <m:e>
              <m:r>
                <m:rPr/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1</m:t>
              </m:r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Bidi"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-US" w:bidi="ar-SA"/>
                    </w:rPr>
                    <m:t>θ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AI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eastAsia="宋体" w:cs="Cambria Math"/>
                  <w:b w:val="0"/>
                  <w:i w:val="0"/>
                  <w:sz w:val="24"/>
                  <w:szCs w:val="24"/>
                </w:rPr>
              </m:ctrlPr>
            </m:e>
          </m:d>
        </m:oMath>
      </m:oMathPara>
    </w:p>
    <w:p w14:paraId="263F2333">
      <w:pPr>
        <w:ind w:firstLine="480" w:firstLineChars="200"/>
        <w:rPr>
          <w:rFonts w:hint="default" w:hAnsi="Cambria Math" w:eastAsia="宋体" w:cs="Cambria Math"/>
          <w:b w:val="0"/>
          <w:i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sz w:val="24"/>
                  <w:szCs w:val="24"/>
                </w:rPr>
                <m:t>Premium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H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Cambria Math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hint="default" w:ascii="Cambria Math" w:hAnsi="Cambria Math" w:cs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m:rPr/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1</m:t>
              </m:r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−α</m:t>
              </m:r>
              <m:ctrlPr>
                <w:rPr>
                  <w:rFonts w:hint="default" w:ascii="Cambria Math" w:hAnsi="Cambria Math" w:cs="Cambria Math"/>
                  <w:i/>
                  <w:sz w:val="24"/>
                  <w:szCs w:val="24"/>
                  <w:lang w:val="en-US"/>
                </w:rPr>
              </m:ctrlPr>
            </m:e>
          </m:d>
          <m:r>
            <m:rPr/>
            <w:rPr>
              <w:rFonts w:hint="default" w:ascii="Cambria Math" w:hAnsi="Cambria Math" w:cs="Cambria Math"/>
              <w:sz w:val="24"/>
              <w:szCs w:val="24"/>
              <w:lang w:val="en-US"/>
            </w:rPr>
            <m:t>×</m:t>
          </m:r>
          <m:r>
            <m:rPr>
              <m:sty m:val="p"/>
            </m:rPr>
            <w:rPr>
              <w:rFonts w:hint="default" w:ascii="Times New Roman" w:hAnsi="Times New Roman" w:eastAsia="宋体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hint="default" w:ascii="Cambria Math" w:hAnsi="Cambria Math" w:eastAsia="宋体" w:cs="Cambria Math"/>
              <w:sz w:val="24"/>
              <w:szCs w:val="24"/>
            </w:rPr>
            <m:t>×</m:t>
          </m:r>
          <m:d>
            <m:dPr>
              <m:ctrlPr>
                <w:rPr>
                  <w:rFonts w:hint="default" w:ascii="Cambria Math" w:hAnsi="Cambria Math" w:eastAsia="宋体" w:cs="Cambria Math"/>
                  <w:b w:val="0"/>
                  <w:i w:val="0"/>
                  <w:sz w:val="24"/>
                  <w:szCs w:val="24"/>
                </w:rPr>
              </m:ctrlPr>
            </m:dPr>
            <m:e>
              <m:r>
                <m:rPr/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1</m:t>
              </m:r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Bidi"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-US" w:bidi="ar-SA"/>
                    </w:rPr>
                    <m:t>θ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H</m:t>
                  </m:r>
                  <m:ctrlPr>
                    <w:rPr>
                      <w:rFonts w:ascii="Cambria Math" w:hAnsi="Cambria Math" w:cstheme="minorBidi"/>
                      <w:i/>
                      <w:kern w:val="2"/>
                      <w:sz w:val="21"/>
                      <w:szCs w:val="24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eastAsia="宋体" w:cs="Cambria Math"/>
                  <w:b w:val="0"/>
                  <w:i w:val="0"/>
                  <w:sz w:val="24"/>
                  <w:szCs w:val="24"/>
                </w:rPr>
              </m:ctrlPr>
            </m:e>
          </m:d>
        </m:oMath>
      </m:oMathPara>
    </w:p>
    <w:p w14:paraId="5DF59BF4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２. 研究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A≥3、T≥2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时的局部最优解</w:t>
      </w:r>
    </w:p>
    <w:p w14:paraId="4F94A940">
      <w:pPr>
        <w:ind w:firstLine="480" w:firstLineChars="200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论文指出A≥3、T≥2时，不存在基于单一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指标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的Rule of thumb。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因此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最优排序会依赖于初始先验分布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文章指出，对于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A≥3时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，正确和错误的概念变得模糊。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未来的研究可以通过引入特定行业的先验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结构，对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A和T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增加现实约束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来求局部最优。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以ESG评级为例：</w:t>
      </w:r>
    </w:p>
    <w:p w14:paraId="68A0FF74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①行动空间有序性：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Action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是存在等级梯度的，例如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AAA、AA、A、BBB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，各种梯度之间表现为有序性。</w:t>
      </w:r>
    </w:p>
    <w:p w14:paraId="48C9C095">
      <w:pPr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转移矩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阵的约束：</w:t>
      </w:r>
      <w:r>
        <w:rPr>
          <w:rFonts w:hint="default" w:ascii="Times New Roman" w:hAnsi="Times New Roman" w:eastAsia="宋体" w:cs="Times New Roman"/>
          <w:sz w:val="24"/>
          <w:szCs w:val="24"/>
        </w:rPr>
        <w:t>基于有序行动，设定错误的发生概率与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梯度</w:t>
      </w:r>
      <w:r>
        <w:rPr>
          <w:rFonts w:hint="default" w:ascii="Times New Roman" w:hAnsi="Times New Roman" w:eastAsia="宋体" w:cs="Times New Roman"/>
          <w:sz w:val="24"/>
          <w:szCs w:val="24"/>
        </w:rPr>
        <w:t>的跨度成反比。AI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进行评级时，将AAA企业评级为AA的概率应大于将AAA企业评级为BBB的概率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3834E13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此时，排序转化为组合优化问题：</w:t>
      </w:r>
    </w:p>
    <w:p w14:paraId="1B379083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①目标函数：设定与状态相关的错误成本向量U，将AAA企业评级为AA的错误成本应大于将AAA企业评级为BBB的错误成本。</w:t>
      </w:r>
    </w:p>
    <w:p w14:paraId="62C7C3D0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②算法迭代寻找收益最大化的排序：对于N项技术的N！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种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排序，可以构建运筹学优化算法，在给定</w:t>
      </w:r>
      <w:r>
        <w:rPr>
          <w:rFonts w:hint="default" w:ascii="Times New Roman" w:hAnsi="Times New Roman" w:eastAsia="宋体" w:cs="Times New Roman"/>
          <w:sz w:val="24"/>
          <w:szCs w:val="24"/>
        </w:rPr>
        <w:t>先验分布</w:t>
      </w:r>
      <m:oMath>
        <m:sSub>
          <m:sSub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kern w:val="2"/>
                <w:sz w:val="21"/>
                <w:szCs w:val="24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kern w:val="2"/>
                <w:sz w:val="21"/>
                <w:szCs w:val="24"/>
                <w:lang w:val="en-US" w:eastAsia="zh-CN" w:bidi="ar-SA"/>
              </w:rPr>
              <m:t>0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和现实约束的矩阵池中通过迭代寻找最优排序。</w:t>
      </w:r>
    </w:p>
    <w:p w14:paraId="359D3730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133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6D5"/>
    <w:rsid w:val="00092C13"/>
    <w:rsid w:val="000D3758"/>
    <w:rsid w:val="00110131"/>
    <w:rsid w:val="002D0535"/>
    <w:rsid w:val="003F34AB"/>
    <w:rsid w:val="004136D5"/>
    <w:rsid w:val="0046003D"/>
    <w:rsid w:val="0046130E"/>
    <w:rsid w:val="00561F30"/>
    <w:rsid w:val="005A60CA"/>
    <w:rsid w:val="005D3B58"/>
    <w:rsid w:val="0063339E"/>
    <w:rsid w:val="00634A20"/>
    <w:rsid w:val="00694ADA"/>
    <w:rsid w:val="006B4AE4"/>
    <w:rsid w:val="00716CAB"/>
    <w:rsid w:val="00743846"/>
    <w:rsid w:val="0074795C"/>
    <w:rsid w:val="00792ECF"/>
    <w:rsid w:val="007F330C"/>
    <w:rsid w:val="00CF5500"/>
    <w:rsid w:val="00D61E90"/>
    <w:rsid w:val="00D73C34"/>
    <w:rsid w:val="00DE2BDF"/>
    <w:rsid w:val="00F64BA5"/>
    <w:rsid w:val="00F97AD8"/>
    <w:rsid w:val="050414F1"/>
    <w:rsid w:val="05461B09"/>
    <w:rsid w:val="062A62BD"/>
    <w:rsid w:val="06B62CBE"/>
    <w:rsid w:val="0CF00FA1"/>
    <w:rsid w:val="0EC00B7E"/>
    <w:rsid w:val="14A66120"/>
    <w:rsid w:val="1740140A"/>
    <w:rsid w:val="1A1B310D"/>
    <w:rsid w:val="1CE123EB"/>
    <w:rsid w:val="1FC63B1B"/>
    <w:rsid w:val="27335F39"/>
    <w:rsid w:val="28C75E5D"/>
    <w:rsid w:val="2C302A48"/>
    <w:rsid w:val="2E163EBF"/>
    <w:rsid w:val="2F44743E"/>
    <w:rsid w:val="313F54DB"/>
    <w:rsid w:val="35CC3FBE"/>
    <w:rsid w:val="37E1553E"/>
    <w:rsid w:val="37FF7772"/>
    <w:rsid w:val="39AD305A"/>
    <w:rsid w:val="433230F1"/>
    <w:rsid w:val="445F7F16"/>
    <w:rsid w:val="44B1676E"/>
    <w:rsid w:val="462469CC"/>
    <w:rsid w:val="46DD5DCF"/>
    <w:rsid w:val="47F210A1"/>
    <w:rsid w:val="497E0E3E"/>
    <w:rsid w:val="4D36558C"/>
    <w:rsid w:val="4DBF37D4"/>
    <w:rsid w:val="4E925632"/>
    <w:rsid w:val="53575F2A"/>
    <w:rsid w:val="54971006"/>
    <w:rsid w:val="59232E69"/>
    <w:rsid w:val="5B01542B"/>
    <w:rsid w:val="5B8027F4"/>
    <w:rsid w:val="5DF9063C"/>
    <w:rsid w:val="65842EE1"/>
    <w:rsid w:val="66432D9C"/>
    <w:rsid w:val="68024591"/>
    <w:rsid w:val="6F6873CF"/>
    <w:rsid w:val="6F9F1721"/>
    <w:rsid w:val="712538FB"/>
    <w:rsid w:val="72C13A69"/>
    <w:rsid w:val="751F6782"/>
    <w:rsid w:val="76572E82"/>
    <w:rsid w:val="77E37F3B"/>
    <w:rsid w:val="79D166F6"/>
    <w:rsid w:val="7AFF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标题 2 字符"/>
    <w:basedOn w:val="7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2435</Words>
  <Characters>2814</Characters>
  <Lines>2</Lines>
  <Paragraphs>1</Paragraphs>
  <TotalTime>4</TotalTime>
  <ScaleCrop>false</ScaleCrop>
  <LinksUpToDate>false</LinksUpToDate>
  <CharactersWithSpaces>2896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2026-05-28T03:09:00Z</dcterms:created>
  <dc:creator>quan yuan</dc:creator>
  <cp:lastModifiedBy>微信用户</cp:lastModifiedBy>
  <dcterms:modified xsi:type="dcterms:W3CDTF">2026-06-02T12:40:51Z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64F96524151241AF8050B69874DB8A2F_13</vt:lpwstr>
  </property>
  <property fmtid="{D5CDD505-2E9C-101B-9397-08002B2CF9AE}" pid="4" name="KSOTemplateDocerSaveRecord">
    <vt:lpwstr>eyJoZGlkIjoiMDMyYWVjM2FjMWZhMTFkODkxOGUzNGM4NGVmOTFlMmIiLCJ1c2VySWQiOiIxNTIwNzMzOTg2In0=</vt:lpwstr>
  </property>
</Properties>
</file>