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FD7E" w14:textId="77777777" w:rsidR="0045078E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SCL-90</w:t>
      </w:r>
      <w:r>
        <w:rPr>
          <w:rFonts w:ascii="Arial" w:eastAsia="等线" w:hAnsi="Arial" w:cs="Arial"/>
          <w:b/>
          <w:sz w:val="52"/>
        </w:rPr>
        <w:t>心理综合测评系统</w:t>
      </w: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诊断接口报告格式范例</w:t>
      </w:r>
    </w:p>
    <w:p w14:paraId="6BB8B64B" w14:textId="77777777" w:rsidR="004507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说明：本报告严格遵循</w:t>
      </w:r>
      <w:r>
        <w:rPr>
          <w:rFonts w:ascii="Arial" w:eastAsia="等线" w:hAnsi="Arial" w:cs="Arial"/>
        </w:rPr>
        <w:t>SCL-90</w:t>
      </w:r>
      <w:r>
        <w:rPr>
          <w:rFonts w:ascii="Arial" w:eastAsia="等线" w:hAnsi="Arial" w:cs="Arial"/>
        </w:rPr>
        <w:t>（症状自评量表）标准化测评规范，深度结合临床诊疗实操需求与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诊断接口技术特性，为心理咨询师、精神科医生等专业人员提供精准的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辅助诊断参考。报告以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临床视角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为核心，通过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数据呈现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症状关联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机制剖析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干预指导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的诊疗逻辑链，将抽象量表数据转化为具象临床表现，补充答题有效性校验、诊断可信度溯源等专业模块，既保障数据严谨性与科学性，又贴合临床医生的</w:t>
      </w:r>
      <w:proofErr w:type="gramStart"/>
      <w:r>
        <w:rPr>
          <w:rFonts w:ascii="Arial" w:eastAsia="等线" w:hAnsi="Arial" w:cs="Arial"/>
        </w:rPr>
        <w:t>读报告</w:t>
      </w:r>
      <w:proofErr w:type="gramEnd"/>
      <w:r>
        <w:rPr>
          <w:rFonts w:ascii="Arial" w:eastAsia="等线" w:hAnsi="Arial" w:cs="Arial"/>
        </w:rPr>
        <w:t>习惯，助力快速精准把握受测者心理状态，高效制定个体化干预方案。</w:t>
      </w:r>
    </w:p>
    <w:p w14:paraId="28364E43" w14:textId="77777777" w:rsidR="0045078E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专业解读型（图文结合格式，适配心理从业者）</w:t>
      </w:r>
      <w:bookmarkEnd w:id="0"/>
    </w:p>
    <w:p w14:paraId="46653349" w14:textId="77777777" w:rsidR="004507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核心用途：为临床心理工作者（心理咨询师、精神科医生）提供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数据精准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贴合临床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指导可行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辅助诊断依据。从临床诊疗实际出发，将抽象量表得分转化为可感知的临床症状描述，厘清症状间的内在关联，同时给出循证且可落地的干预建议，兼顾医学严谨性与实操性，帮助医生快速建立对受测者心理状态的全面认知，提升诊疗决策效率与精准度。</w:t>
      </w:r>
    </w:p>
    <w:p w14:paraId="336D5448" w14:textId="77777777" w:rsidR="0045078E" w:rsidRDefault="0045078E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bookmarkEnd w:id="1"/>
    </w:p>
    <w:p w14:paraId="0447230E" w14:textId="77777777" w:rsidR="0045078E" w:rsidRDefault="00000000">
      <w:pPr>
        <w:spacing w:before="260" w:after="120" w:line="288" w:lineRule="auto"/>
        <w:outlineLvl w:val="3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28"/>
        </w:rPr>
        <w:t>一、基础信息</w:t>
      </w:r>
      <w:bookmarkEnd w:id="2"/>
    </w:p>
    <w:p w14:paraId="38187BD8" w14:textId="77777777" w:rsidR="0045078E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受测者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U20250001</w:t>
      </w:r>
    </w:p>
    <w:p w14:paraId="1E53EA4F" w14:textId="77777777" w:rsidR="0045078E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人口学信息：</w:t>
      </w:r>
      <w:r>
        <w:rPr>
          <w:rFonts w:ascii="Arial" w:eastAsia="等线" w:hAnsi="Arial" w:cs="Arial"/>
        </w:rPr>
        <w:t>28</w:t>
      </w:r>
      <w:r>
        <w:rPr>
          <w:rFonts w:ascii="Arial" w:eastAsia="等线" w:hAnsi="Arial" w:cs="Arial"/>
        </w:rPr>
        <w:t>岁男性，属于</w:t>
      </w:r>
      <w:r>
        <w:rPr>
          <w:rFonts w:ascii="Arial" w:eastAsia="等线" w:hAnsi="Arial" w:cs="Arial"/>
        </w:rPr>
        <w:t>26-35</w:t>
      </w:r>
      <w:r>
        <w:rPr>
          <w:rFonts w:ascii="Arial" w:eastAsia="等线" w:hAnsi="Arial" w:cs="Arial"/>
        </w:rPr>
        <w:t>岁青壮年群体（该年龄段常模均值参考：各维度标准分</w:t>
      </w:r>
      <w:r>
        <w:rPr>
          <w:rFonts w:ascii="Arial" w:eastAsia="等线" w:hAnsi="Arial" w:cs="Arial"/>
        </w:rPr>
        <w:t>≤1.85</w:t>
      </w:r>
      <w:r>
        <w:rPr>
          <w:rFonts w:ascii="Arial" w:eastAsia="等线" w:hAnsi="Arial" w:cs="Arial"/>
        </w:rPr>
        <w:t>，为本报告诊断对比基准）</w:t>
      </w:r>
    </w:p>
    <w:p w14:paraId="14508E33" w14:textId="77777777" w:rsidR="0045078E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量表完成情况：有效（答题完整度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，答题时长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分钟，处于</w:t>
      </w:r>
      <w:r>
        <w:rPr>
          <w:rFonts w:ascii="Arial" w:eastAsia="等线" w:hAnsi="Arial" w:cs="Arial"/>
        </w:rPr>
        <w:t>SCL-90</w:t>
      </w:r>
      <w:r>
        <w:rPr>
          <w:rFonts w:ascii="Arial" w:eastAsia="等线" w:hAnsi="Arial" w:cs="Arial"/>
        </w:rPr>
        <w:t>合理答题区间</w:t>
      </w:r>
      <w:r>
        <w:rPr>
          <w:rFonts w:ascii="Arial" w:eastAsia="等线" w:hAnsi="Arial" w:cs="Arial"/>
        </w:rPr>
        <w:t>8-20</w:t>
      </w:r>
      <w:r>
        <w:rPr>
          <w:rFonts w:ascii="Arial" w:eastAsia="等线" w:hAnsi="Arial" w:cs="Arial"/>
        </w:rPr>
        <w:t>分钟内，</w:t>
      </w:r>
      <w:proofErr w:type="gramStart"/>
      <w:r>
        <w:rPr>
          <w:rFonts w:ascii="Arial" w:eastAsia="等线" w:hAnsi="Arial" w:cs="Arial"/>
        </w:rPr>
        <w:t>无答案</w:t>
      </w:r>
      <w:proofErr w:type="gramEnd"/>
      <w:r>
        <w:rPr>
          <w:rFonts w:ascii="Arial" w:eastAsia="等线" w:hAnsi="Arial" w:cs="Arial"/>
        </w:rPr>
        <w:t>同质化、极端分值集中等无效答题特征，测评数据可作为临床参考）</w:t>
      </w:r>
    </w:p>
    <w:p w14:paraId="716C0886" w14:textId="77777777" w:rsidR="0045078E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诊断可信度：</w:t>
      </w:r>
      <w:r>
        <w:rPr>
          <w:rFonts w:ascii="Arial" w:eastAsia="等线" w:hAnsi="Arial" w:cs="Arial"/>
        </w:rPr>
        <w:t>0.92</w:t>
      </w:r>
      <w:r>
        <w:rPr>
          <w:rFonts w:ascii="Arial" w:eastAsia="等线" w:hAnsi="Arial" w:cs="Arial"/>
        </w:rPr>
        <w:t>（高可信度，依据：答题条目一致性</w:t>
      </w:r>
      <w:r>
        <w:rPr>
          <w:rFonts w:ascii="Arial" w:eastAsia="等线" w:hAnsi="Arial" w:cs="Arial"/>
        </w:rPr>
        <w:t>r=0.85</w:t>
      </w:r>
      <w:r>
        <w:rPr>
          <w:rFonts w:ascii="Arial" w:eastAsia="等线" w:hAnsi="Arial" w:cs="Arial"/>
        </w:rPr>
        <w:t>，核心维度相关性符合临床常见症状规律，数据可靠性有保障）</w:t>
      </w:r>
    </w:p>
    <w:p w14:paraId="58900041" w14:textId="77777777" w:rsidR="0045078E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筛查结果：阳性（存在需临床关注的心理症状，核心异常维度锁定为强迫症状、人际关系敏感）</w:t>
      </w:r>
    </w:p>
    <w:p w14:paraId="276695F5" w14:textId="77777777" w:rsidR="0045078E" w:rsidRDefault="00000000">
      <w:pPr>
        <w:spacing w:before="260" w:after="120" w:line="288" w:lineRule="auto"/>
        <w:outlineLvl w:val="3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28"/>
        </w:rPr>
        <w:t>二、核心测评数据与临床对应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45078E" w14:paraId="633998B2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39167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维度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DD524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条目数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68CCF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原始分（范围）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4CD06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标准分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A2144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本年龄段常模均值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B0F7C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常模参照范围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DE389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风险等级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ED04B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临床对应说明</w:t>
            </w:r>
          </w:p>
        </w:tc>
      </w:tr>
      <w:tr w:rsidR="0045078E" w14:paraId="5C129F23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3E17F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躯体化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E9024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C881A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12~60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E0ACF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1.67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19E55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1.73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41BBD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≤2.00</w:t>
            </w:r>
            <w:r>
              <w:rPr>
                <w:rFonts w:ascii="Arial" w:eastAsia="等线" w:hAnsi="Arial" w:cs="Arial"/>
              </w:rPr>
              <w:t>（正常）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8FAFA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low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11013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无头痛、胸闷、乏力等躯体不适主诉相关表现，临床暂不考虑躯体症状对心理状态的干扰</w:t>
            </w:r>
          </w:p>
        </w:tc>
      </w:tr>
      <w:tr w:rsidR="0045078E" w14:paraId="5718AD79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FF3D4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强迫症状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FE5B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FC9F2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10~50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2F713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D4330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1.82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74428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2.00~2.99</w:t>
            </w:r>
            <w:r>
              <w:rPr>
                <w:rFonts w:ascii="Arial" w:eastAsia="等线" w:hAnsi="Arial" w:cs="Arial"/>
              </w:rPr>
              <w:t>（轻度偏高）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E8375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medium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5D993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高于同年龄段常模均值，结合临床常见表现，提示存在轻度强迫思维与重复性检查行为，需关注对日常工作效率的影响</w:t>
            </w:r>
          </w:p>
        </w:tc>
      </w:tr>
      <w:tr w:rsidR="0045078E" w14:paraId="5C5B5C10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3E953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人际关系敏感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B0459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29316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18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9~45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19B24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9A080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1.76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F21F9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2.00~2.99</w:t>
            </w:r>
            <w:r>
              <w:rPr>
                <w:rFonts w:ascii="Arial" w:eastAsia="等线" w:hAnsi="Arial" w:cs="Arial"/>
              </w:rPr>
              <w:t>（轻度偏高）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70E45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medium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B4B7A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高于同年龄段常模均值，临床提示存在轻度社交敏感，可能伴随社交场合紧张、过度关注他人评价等表现，需评估对人际关系功能的影响</w:t>
            </w:r>
          </w:p>
        </w:tc>
      </w:tr>
      <w:tr w:rsidR="0045078E" w14:paraId="2E8DCD5E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7BC5D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抑郁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1FA80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3DB9D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13~65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EB15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1.92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33E53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1.80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ACABF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≤2.00</w:t>
            </w:r>
            <w:r>
              <w:rPr>
                <w:rFonts w:ascii="Arial" w:eastAsia="等线" w:hAnsi="Arial" w:cs="Arial"/>
              </w:rPr>
              <w:t>（正常）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0DDFF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low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16CF5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无情绪低落、兴趣减退、快感缺失等抑郁核心症状相关表现</w:t>
            </w:r>
          </w:p>
        </w:tc>
      </w:tr>
      <w:tr w:rsidR="0045078E" w14:paraId="1D4631A0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C6B3D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焦虑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ABFB4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92D3E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17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10~50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956A0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1.89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D0D52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1.75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4CA6B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≤2.00</w:t>
            </w:r>
            <w:r>
              <w:rPr>
                <w:rFonts w:ascii="Arial" w:eastAsia="等线" w:hAnsi="Arial" w:cs="Arial"/>
              </w:rPr>
              <w:t>（正常）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65D95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low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120DA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无紧张</w:t>
            </w:r>
            <w:proofErr w:type="gramEnd"/>
            <w:r>
              <w:rPr>
                <w:rFonts w:ascii="Arial" w:eastAsia="等线" w:hAnsi="Arial" w:cs="Arial"/>
              </w:rPr>
              <w:t>不安、坐立不宁、濒死感等焦虑核心症状</w:t>
            </w:r>
            <w:r>
              <w:rPr>
                <w:rFonts w:ascii="Arial" w:eastAsia="等线" w:hAnsi="Arial" w:cs="Arial"/>
              </w:rPr>
              <w:lastRenderedPageBreak/>
              <w:t>相关表现</w:t>
            </w:r>
          </w:p>
        </w:tc>
      </w:tr>
      <w:tr w:rsidR="0045078E" w14:paraId="1CE6BFD7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A8637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敌对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BC392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A9ED7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6~30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C800A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1.67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8C29E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1.68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F1013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≤2.00</w:t>
            </w:r>
            <w:r>
              <w:rPr>
                <w:rFonts w:ascii="Arial" w:eastAsia="等线" w:hAnsi="Arial" w:cs="Arial"/>
              </w:rPr>
              <w:t>（正常）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8794E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low</w:t>
            </w:r>
          </w:p>
          <w:p w14:paraId="7A8254FD" w14:textId="77777777" w:rsidR="0045078E" w:rsidRDefault="0045078E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35BD4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无易激惹、攻击倾向、敌意言语等相关行为表现</w:t>
            </w:r>
          </w:p>
        </w:tc>
      </w:tr>
      <w:tr w:rsidR="0045078E" w14:paraId="1B62E87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A5D44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恐怖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8E274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4536F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7~35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19440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1.14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14DAB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D5AAE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≤2.00</w:t>
            </w:r>
            <w:r>
              <w:rPr>
                <w:rFonts w:ascii="Arial" w:eastAsia="等线" w:hAnsi="Arial" w:cs="Arial"/>
              </w:rPr>
              <w:t>（正常）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CC2F1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low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F6999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无特定场所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事物恐怖、回避等相关症状表现</w:t>
            </w:r>
          </w:p>
        </w:tc>
      </w:tr>
      <w:tr w:rsidR="0045078E" w14:paraId="62EE9036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C63C3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偏执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BFD78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79EF6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6~30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A3050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C4AF2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1.62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4169C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≤2.00</w:t>
            </w:r>
            <w:r>
              <w:rPr>
                <w:rFonts w:ascii="Arial" w:eastAsia="等线" w:hAnsi="Arial" w:cs="Arial"/>
              </w:rPr>
              <w:t>（正常）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41958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low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D010F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无猜疑、偏执观念、关系妄想等相关思维异常表现</w:t>
            </w:r>
          </w:p>
        </w:tc>
      </w:tr>
      <w:tr w:rsidR="0045078E" w14:paraId="58E0D231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F59CE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精神病性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52D25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1C146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11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10~50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09CA8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1.44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6A72F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1.56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87ADB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≤2.00</w:t>
            </w:r>
            <w:r>
              <w:rPr>
                <w:rFonts w:ascii="Arial" w:eastAsia="等线" w:hAnsi="Arial" w:cs="Arial"/>
              </w:rPr>
              <w:t>（正常）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E1A05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low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91253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无幻觉、思维散漫、行为怪异等精神病</w:t>
            </w:r>
            <w:proofErr w:type="gramStart"/>
            <w:r>
              <w:rPr>
                <w:rFonts w:ascii="Arial" w:eastAsia="等线" w:hAnsi="Arial" w:cs="Arial"/>
              </w:rPr>
              <w:t>性核心</w:t>
            </w:r>
            <w:proofErr w:type="gramEnd"/>
            <w:r>
              <w:rPr>
                <w:rFonts w:ascii="Arial" w:eastAsia="等线" w:hAnsi="Arial" w:cs="Arial"/>
              </w:rPr>
              <w:t>症状相关表</w:t>
            </w:r>
            <w:r>
              <w:rPr>
                <w:rFonts w:ascii="Arial" w:eastAsia="等线" w:hAnsi="Arial" w:cs="Arial"/>
              </w:rPr>
              <w:lastRenderedPageBreak/>
              <w:t>现</w:t>
            </w:r>
          </w:p>
        </w:tc>
      </w:tr>
      <w:tr w:rsidR="0045078E" w14:paraId="5D937C4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C8C0D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附加维度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597ED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24AB3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13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7~35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86235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1.63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C7967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1.70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A1859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≤2.00</w:t>
            </w:r>
            <w:r>
              <w:rPr>
                <w:rFonts w:ascii="Arial" w:eastAsia="等线" w:hAnsi="Arial" w:cs="Arial"/>
              </w:rPr>
              <w:t>（正常）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4BD17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low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6DC05" w14:textId="77777777" w:rsidR="004507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睡眠节律、饮食摄入等基础生理功能无明显异常，为心理干预提供了良好生理基础</w:t>
            </w:r>
          </w:p>
        </w:tc>
      </w:tr>
    </w:tbl>
    <w:p w14:paraId="7E13FFDE" w14:textId="77777777" w:rsidR="0045078E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>三、</w:t>
      </w:r>
      <w:r>
        <w:rPr>
          <w:rFonts w:ascii="Arial" w:eastAsia="等线" w:hAnsi="Arial" w:cs="Arial"/>
          <w:b/>
          <w:sz w:val="28"/>
        </w:rPr>
        <w:t>AI</w:t>
      </w:r>
      <w:r>
        <w:rPr>
          <w:rFonts w:ascii="Arial" w:eastAsia="等线" w:hAnsi="Arial" w:cs="Arial"/>
          <w:b/>
          <w:sz w:val="28"/>
        </w:rPr>
        <w:t>辅助诊断分析（临床视角）</w:t>
      </w:r>
      <w:bookmarkEnd w:id="4"/>
    </w:p>
    <w:p w14:paraId="604BD172" w14:textId="77777777" w:rsidR="004507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核心症状定位与互动机制：结合量表数据与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语义分析结果，受测者总体评估为中等风险，筛查阳性，核心问题集中在强迫症状（标准分</w:t>
      </w:r>
      <w:r>
        <w:rPr>
          <w:rFonts w:ascii="Arial" w:eastAsia="等线" w:hAnsi="Arial" w:cs="Arial"/>
        </w:rPr>
        <w:t>2.20</w:t>
      </w:r>
      <w:r>
        <w:rPr>
          <w:rFonts w:ascii="Arial" w:eastAsia="等线" w:hAnsi="Arial" w:cs="Arial"/>
        </w:rPr>
        <w:t>）与人际关系敏感（标准分</w:t>
      </w:r>
      <w:r>
        <w:rPr>
          <w:rFonts w:ascii="Arial" w:eastAsia="等线" w:hAnsi="Arial" w:cs="Arial"/>
        </w:rPr>
        <w:t>2.00</w:t>
      </w:r>
      <w:r>
        <w:rPr>
          <w:rFonts w:ascii="Arial" w:eastAsia="等线" w:hAnsi="Arial" w:cs="Arial"/>
        </w:rPr>
        <w:t>），且两项指标均显著高于</w:t>
      </w:r>
      <w:r>
        <w:rPr>
          <w:rFonts w:ascii="Arial" w:eastAsia="等线" w:hAnsi="Arial" w:cs="Arial"/>
        </w:rPr>
        <w:t>26-35</w:t>
      </w:r>
      <w:r>
        <w:rPr>
          <w:rFonts w:ascii="Arial" w:eastAsia="等线" w:hAnsi="Arial" w:cs="Arial"/>
        </w:rPr>
        <w:t>岁年龄段常模均值。从临床诊疗经验来看，这两个维度存在强正相关（</w:t>
      </w:r>
      <w:r>
        <w:rPr>
          <w:rFonts w:ascii="Arial" w:eastAsia="等线" w:hAnsi="Arial" w:cs="Arial"/>
        </w:rPr>
        <w:t>r=0.68</w:t>
      </w:r>
      <w:r>
        <w:rPr>
          <w:rFonts w:ascii="Arial" w:eastAsia="等线" w:hAnsi="Arial" w:cs="Arial"/>
        </w:rPr>
        <w:t>），形成了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社交敏感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过度自我审视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强迫思维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行为强化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社交回避加剧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的症状闭环，这是临床中典型的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社交关联型强迫状态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表现，并非两个孤立症状，提示干预需聚焦打破这一互动闭环，而非单一处理某个症状。</w:t>
      </w:r>
    </w:p>
    <w:p w14:paraId="57AEEE89" w14:textId="77777777" w:rsidR="004507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临床症状具象化描述：结合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对答题条目的倾向分析，结合临床常见表现，可将受测者的量表得分转化为具体临床主诉相关表现：</w:t>
      </w: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强迫症状：临床可观察到（或受测者可能主诉）工作中存在反复检查文档、核对数据的行为，对细节完整性过度追求，面对未完成事项有明显不确定感，需通过重复确认缓解焦虑；日常可能存在固定作息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行为流程依赖，流程被打乱时易出现烦躁情绪。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人际关系敏感：受测者在团队讨论、跨部门沟通等社交场景中，可能主诉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担心说错话被否定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，临床观察可见发言犹豫、肢体紧张等表现，对陌生社交场合存在轻微回避倾向，已轻度影响社交功能的自然发挥，但尚未达到社交恐惧的诊断标准。</w:t>
      </w:r>
    </w:p>
    <w:p w14:paraId="6D01DBBA" w14:textId="77777777" w:rsidR="004507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鉴别诊断与干扰因素排除（临床诊疗必备）：为避免误诊、漏诊，结合量表数据需重点排除以下情况：</w:t>
      </w: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排除严重精神障碍：各维度标准分均未达中重度阈值（</w:t>
      </w:r>
      <w:r>
        <w:rPr>
          <w:rFonts w:ascii="Arial" w:eastAsia="等线" w:hAnsi="Arial" w:cs="Arial"/>
        </w:rPr>
        <w:t>≥3.00</w:t>
      </w:r>
      <w:r>
        <w:rPr>
          <w:rFonts w:ascii="Arial" w:eastAsia="等线" w:hAnsi="Arial" w:cs="Arial"/>
        </w:rPr>
        <w:t>），无核心症状泛化、社会功能严重受损表现，可排除精神分裂症、重度抑郁症、难治性强迫症等严重精神障碍；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排除躯体</w:t>
      </w:r>
      <w:proofErr w:type="gramStart"/>
      <w:r>
        <w:rPr>
          <w:rFonts w:ascii="Arial" w:eastAsia="等线" w:hAnsi="Arial" w:cs="Arial"/>
        </w:rPr>
        <w:t>因素继</w:t>
      </w:r>
      <w:proofErr w:type="gramEnd"/>
      <w:r>
        <w:rPr>
          <w:rFonts w:ascii="Arial" w:eastAsia="等线" w:hAnsi="Arial" w:cs="Arial"/>
        </w:rPr>
        <w:t>发：躯体化维度标准分</w:t>
      </w:r>
      <w:r>
        <w:rPr>
          <w:rFonts w:ascii="Arial" w:eastAsia="等线" w:hAnsi="Arial" w:cs="Arial"/>
        </w:rPr>
        <w:t>1.67</w:t>
      </w:r>
      <w:r>
        <w:rPr>
          <w:rFonts w:ascii="Arial" w:eastAsia="等线" w:hAnsi="Arial" w:cs="Arial"/>
        </w:rPr>
        <w:t>（低于同年龄段常模），无相关躯体不适主诉，暂不考虑躯体疾病（如甲状腺功能异常、慢性疼痛等）继</w:t>
      </w:r>
      <w:proofErr w:type="gramStart"/>
      <w:r>
        <w:rPr>
          <w:rFonts w:ascii="Arial" w:eastAsia="等线" w:hAnsi="Arial" w:cs="Arial"/>
        </w:rPr>
        <w:t>发心理</w:t>
      </w:r>
      <w:proofErr w:type="gramEnd"/>
      <w:r>
        <w:rPr>
          <w:rFonts w:ascii="Arial" w:eastAsia="等线" w:hAnsi="Arial" w:cs="Arial"/>
        </w:rPr>
        <w:t>症状；</w:t>
      </w: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排除测评数据偏差：受测者答题完整、时长合理，无同质化答题倾</w:t>
      </w:r>
      <w:r>
        <w:rPr>
          <w:rFonts w:ascii="Arial" w:eastAsia="等线" w:hAnsi="Arial" w:cs="Arial"/>
        </w:rPr>
        <w:lastRenderedPageBreak/>
        <w:t>向，测评数据有效，可作为临床诊断参考依据，无需重新测评。</w:t>
      </w:r>
    </w:p>
    <w:p w14:paraId="7B57663A" w14:textId="77777777" w:rsidR="0045078E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>四、临床干预建议</w:t>
      </w:r>
      <w:bookmarkEnd w:id="5"/>
    </w:p>
    <w:p w14:paraId="62F9C26B" w14:textId="77777777" w:rsidR="0045078E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干预原则：遵循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循证医学、标本兼顾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原则，以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打破症状互动闭环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为核心目标，优先采用非药物的认知行为干预，既要快速缓解强迫与社交敏感的表层症状，更要深入调整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过度自我要求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必须获得他人认可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等核心负性认知，最终实现症状缓解与社交功能恢复的双重目标，提升受测者生活质量。</w:t>
      </w:r>
    </w:p>
    <w:p w14:paraId="22A46CBF" w14:textId="77777777" w:rsidR="0045078E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核心干预方案（临床可直接落地）：</w:t>
      </w: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认知行为疗法（</w:t>
      </w:r>
      <w:r>
        <w:rPr>
          <w:rFonts w:ascii="Arial" w:eastAsia="等线" w:hAnsi="Arial" w:cs="Arial"/>
        </w:rPr>
        <w:t>CBT</w:t>
      </w:r>
      <w:r>
        <w:rPr>
          <w:rFonts w:ascii="Arial" w:eastAsia="等线" w:hAnsi="Arial" w:cs="Arial"/>
        </w:rPr>
        <w:t>）个体化干预：建议每周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次个体咨询，每次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分钟，持续</w:t>
      </w:r>
      <w:r>
        <w:rPr>
          <w:rFonts w:ascii="Arial" w:eastAsia="等线" w:hAnsi="Arial" w:cs="Arial"/>
        </w:rPr>
        <w:t>6-8</w:t>
      </w:r>
      <w:r>
        <w:rPr>
          <w:rFonts w:ascii="Arial" w:eastAsia="等线" w:hAnsi="Arial" w:cs="Arial"/>
        </w:rPr>
        <w:t>周。针对强迫症状，采用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暴露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反应预防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技术，从低强度刺激（如刻意不检查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次文档细节）开始，逐步提升暴露等级，帮助受测者耐受不确定性焦虑，逐步减少重复行为；针对社交敏感，采用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认知重构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技术，引导受测者梳理并挑战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必须完美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犯错即失败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等负性核心信念，建立灵活的社交认知。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社交技能场景化训练：建议每周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次团体社交训练（每组</w:t>
      </w:r>
      <w:r>
        <w:rPr>
          <w:rFonts w:ascii="Arial" w:eastAsia="等线" w:hAnsi="Arial" w:cs="Arial"/>
        </w:rPr>
        <w:t>4-6</w:t>
      </w:r>
      <w:r>
        <w:rPr>
          <w:rFonts w:ascii="Arial" w:eastAsia="等线" w:hAnsi="Arial" w:cs="Arial"/>
        </w:rPr>
        <w:t>人），</w:t>
      </w:r>
      <w:proofErr w:type="gramStart"/>
      <w:r>
        <w:rPr>
          <w:rFonts w:ascii="Arial" w:eastAsia="等线" w:hAnsi="Arial" w:cs="Arial"/>
        </w:rPr>
        <w:t>模拟职场沟通</w:t>
      </w:r>
      <w:proofErr w:type="gramEnd"/>
      <w:r>
        <w:rPr>
          <w:rFonts w:ascii="Arial" w:eastAsia="等线" w:hAnsi="Arial" w:cs="Arial"/>
        </w:rPr>
        <w:t>、陌生人社交等真实场景开展角色扮演，实时反馈并纠正紧张肢体语言、犹豫表达等问题；搭配每日家庭作业（如主动向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位同事分享工作见解、向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位陌生人问路），帮助受测者将训练成果迁移</w:t>
      </w:r>
      <w:proofErr w:type="gramStart"/>
      <w:r>
        <w:rPr>
          <w:rFonts w:ascii="Arial" w:eastAsia="等线" w:hAnsi="Arial" w:cs="Arial"/>
        </w:rPr>
        <w:t>至真实</w:t>
      </w:r>
      <w:proofErr w:type="gramEnd"/>
      <w:r>
        <w:rPr>
          <w:rFonts w:ascii="Arial" w:eastAsia="等线" w:hAnsi="Arial" w:cs="Arial"/>
        </w:rPr>
        <w:t>生活，逐步恢复社交功能。</w:t>
      </w:r>
    </w:p>
    <w:p w14:paraId="18ECA81E" w14:textId="77777777" w:rsidR="0045078E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辅助干预手段（配合核心干预提升效果）：</w:t>
      </w: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正念冥想训练：建议每日早晚各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次，每次</w:t>
      </w:r>
      <w:r>
        <w:rPr>
          <w:rFonts w:ascii="Arial" w:eastAsia="等线" w:hAnsi="Arial" w:cs="Arial"/>
        </w:rPr>
        <w:t>15-20</w:t>
      </w:r>
      <w:r>
        <w:rPr>
          <w:rFonts w:ascii="Arial" w:eastAsia="等线" w:hAnsi="Arial" w:cs="Arial"/>
        </w:rPr>
        <w:t>分钟，采用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呼吸觉察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身体扫描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模式，帮助受测者提升对强迫思维、社交紧张情绪的觉察能力，减少对症状的过度纠缠，逐步提升不确定性容忍度；可推荐专业正</w:t>
      </w:r>
      <w:proofErr w:type="gramStart"/>
      <w:r>
        <w:rPr>
          <w:rFonts w:ascii="Arial" w:eastAsia="等线" w:hAnsi="Arial" w:cs="Arial"/>
        </w:rPr>
        <w:t>念引导</w:t>
      </w:r>
      <w:proofErr w:type="gramEnd"/>
      <w:r>
        <w:rPr>
          <w:rFonts w:ascii="Arial" w:eastAsia="等线" w:hAnsi="Arial" w:cs="Arial"/>
        </w:rPr>
        <w:t>音频，提升训练规范性。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运动干预：建议每周</w:t>
      </w:r>
      <w:r>
        <w:rPr>
          <w:rFonts w:ascii="Arial" w:eastAsia="等线" w:hAnsi="Arial" w:cs="Arial"/>
        </w:rPr>
        <w:t>3-5</w:t>
      </w:r>
      <w:r>
        <w:rPr>
          <w:rFonts w:ascii="Arial" w:eastAsia="等线" w:hAnsi="Arial" w:cs="Arial"/>
        </w:rPr>
        <w:t>次中等强度运动（慢跑、瑜伽、游泳均可），每次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分钟，通过运动促进内啡肽分泌，缓解潜在焦虑情绪，同时改善睡眠质量，为心理干预奠定良好生理基础。</w:t>
      </w:r>
    </w:p>
    <w:p w14:paraId="49FA3A60" w14:textId="77777777" w:rsidR="0045078E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随访与复评管理（临床疗效追踪关键）：</w:t>
      </w: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短期随访：干预第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周进行阶段性评估，通过面谈结合简易症状量表（</w:t>
      </w:r>
      <w:r>
        <w:rPr>
          <w:rFonts w:ascii="Arial" w:eastAsia="等线" w:hAnsi="Arial" w:cs="Arial"/>
        </w:rPr>
        <w:t>SDS</w:t>
      </w:r>
      <w:r>
        <w:rPr>
          <w:rFonts w:ascii="Arial" w:eastAsia="等线" w:hAnsi="Arial" w:cs="Arial"/>
        </w:rPr>
        <w:t>）快速判断症状变化，及时调整干预强度与方案（如症状缓解明显，可适当放缓暴露等级提升速度）。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长期复评：干预结束后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个月、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个月，通过本系统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诊断接口复评</w:t>
      </w:r>
      <w:r>
        <w:rPr>
          <w:rFonts w:ascii="Arial" w:eastAsia="等线" w:hAnsi="Arial" w:cs="Arial"/>
        </w:rPr>
        <w:t>SCL-90</w:t>
      </w:r>
      <w:r>
        <w:rPr>
          <w:rFonts w:ascii="Arial" w:eastAsia="等线" w:hAnsi="Arial" w:cs="Arial"/>
        </w:rPr>
        <w:t>，重点对比强迫症状、人际关系敏感维度的标准分变化，形成症状变化曲线，客观评估干预效果。</w:t>
      </w: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风险转诊提示：若复评时核心维度标准分升至</w:t>
      </w:r>
      <w:r>
        <w:rPr>
          <w:rFonts w:ascii="Arial" w:eastAsia="等线" w:hAnsi="Arial" w:cs="Arial"/>
        </w:rPr>
        <w:t>≥2.50</w:t>
      </w:r>
      <w:r>
        <w:rPr>
          <w:rFonts w:ascii="Arial" w:eastAsia="等线" w:hAnsi="Arial" w:cs="Arial"/>
        </w:rPr>
        <w:t>，或出现强迫行为失控（如每日检查</w:t>
      </w:r>
      <w:proofErr w:type="gramStart"/>
      <w:r>
        <w:rPr>
          <w:rFonts w:ascii="Arial" w:eastAsia="等线" w:hAnsi="Arial" w:cs="Arial"/>
        </w:rPr>
        <w:t>次数超</w:t>
      </w:r>
      <w:proofErr w:type="gramEnd"/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次）、社交完全回避（拒绝</w:t>
      </w:r>
      <w:proofErr w:type="gramStart"/>
      <w:r>
        <w:rPr>
          <w:rFonts w:ascii="Arial" w:eastAsia="等线" w:hAnsi="Arial" w:cs="Arial"/>
        </w:rPr>
        <w:t>所有职场沟通</w:t>
      </w:r>
      <w:proofErr w:type="gramEnd"/>
      <w:r>
        <w:rPr>
          <w:rFonts w:ascii="Arial" w:eastAsia="等线" w:hAnsi="Arial" w:cs="Arial"/>
        </w:rPr>
        <w:t>与社交活动）等症状恶化表现，需立即转诊精神科门诊，进一步评估排除潜在严重心理问题，必要</w:t>
      </w:r>
      <w:proofErr w:type="gramStart"/>
      <w:r>
        <w:rPr>
          <w:rFonts w:ascii="Arial" w:eastAsia="等线" w:hAnsi="Arial" w:cs="Arial"/>
        </w:rPr>
        <w:t>时联合</w:t>
      </w:r>
      <w:proofErr w:type="gramEnd"/>
      <w:r>
        <w:rPr>
          <w:rFonts w:ascii="Arial" w:eastAsia="等线" w:hAnsi="Arial" w:cs="Arial"/>
        </w:rPr>
        <w:t>药物干预。</w:t>
      </w:r>
    </w:p>
    <w:p w14:paraId="1F9E468D" w14:textId="77777777" w:rsidR="0045078E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五、免责声明</w:t>
      </w:r>
      <w:bookmarkEnd w:id="6"/>
    </w:p>
    <w:p w14:paraId="16054240" w14:textId="77777777" w:rsidR="004507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【临床免责声明】本报告为</w:t>
      </w:r>
      <w:r>
        <w:rPr>
          <w:rFonts w:ascii="Arial" w:eastAsia="等线" w:hAnsi="Arial" w:cs="Arial"/>
        </w:rPr>
        <w:t>SCL-90</w:t>
      </w:r>
      <w:r>
        <w:rPr>
          <w:rFonts w:ascii="Arial" w:eastAsia="等线" w:hAnsi="Arial" w:cs="Arial"/>
        </w:rPr>
        <w:t>量表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辅助筛查报告，基于标准化答题数据生成，仅作为心理状态筛查与临床辅助评估参考，不构成正式临床诊断结论。根据《精神卫生法》及临床诊疗规范，最终临床诊断需由具备执业资质的精神科医生或心理咨询师，结合面谈问诊、病史采集、体格检查等多方面信息综合判定。本报告内容需严格遵守临床隐私保护规定，专业人员使用时需结合临床实际情况解读，避免机械套用。报告</w:t>
      </w:r>
      <w:r>
        <w:rPr>
          <w:rFonts w:ascii="Arial" w:eastAsia="等线" w:hAnsi="Arial" w:cs="Arial"/>
        </w:rPr>
        <w:lastRenderedPageBreak/>
        <w:t>生成单位：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系统所属机构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，临床咨询联系方式：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机构临床科室联系电话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。</w:t>
      </w:r>
    </w:p>
    <w:p w14:paraId="62CB5F79" w14:textId="284DB233" w:rsidR="0045078E" w:rsidRDefault="0045078E">
      <w:pPr>
        <w:spacing w:before="120" w:after="120" w:line="288" w:lineRule="auto"/>
        <w:rPr>
          <w:rFonts w:hint="eastAsia"/>
        </w:rPr>
      </w:pPr>
    </w:p>
    <w:sectPr w:rsidR="0045078E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33EEB" w14:textId="77777777" w:rsidR="00A336AE" w:rsidRDefault="00A336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F6B1B9" w14:textId="77777777" w:rsidR="00A336AE" w:rsidRDefault="00A336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BFA9B" w14:textId="77777777" w:rsidR="0045078E" w:rsidRDefault="0045078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7D1F" w14:textId="77777777" w:rsidR="00A336AE" w:rsidRDefault="00A336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D60160" w14:textId="77777777" w:rsidR="00A336AE" w:rsidRDefault="00A336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F95DB" w14:textId="77777777" w:rsidR="0045078E" w:rsidRDefault="0045078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E75"/>
    <w:multiLevelType w:val="multilevel"/>
    <w:tmpl w:val="924AB3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4105A8"/>
    <w:multiLevelType w:val="multilevel"/>
    <w:tmpl w:val="6A9A0D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7BA3F6A"/>
    <w:multiLevelType w:val="multilevel"/>
    <w:tmpl w:val="0074CD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DF73D3A"/>
    <w:multiLevelType w:val="multilevel"/>
    <w:tmpl w:val="4BB826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38741B"/>
    <w:multiLevelType w:val="multilevel"/>
    <w:tmpl w:val="E668C4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B580705"/>
    <w:multiLevelType w:val="multilevel"/>
    <w:tmpl w:val="D02A6B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48F02E0"/>
    <w:multiLevelType w:val="multilevel"/>
    <w:tmpl w:val="E89891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A6450A0"/>
    <w:multiLevelType w:val="multilevel"/>
    <w:tmpl w:val="A734F0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ECB0698"/>
    <w:multiLevelType w:val="multilevel"/>
    <w:tmpl w:val="619C26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02840176">
    <w:abstractNumId w:val="8"/>
  </w:num>
  <w:num w:numId="2" w16cid:durableId="103309905">
    <w:abstractNumId w:val="3"/>
  </w:num>
  <w:num w:numId="3" w16cid:durableId="423386050">
    <w:abstractNumId w:val="0"/>
  </w:num>
  <w:num w:numId="4" w16cid:durableId="25251236">
    <w:abstractNumId w:val="5"/>
  </w:num>
  <w:num w:numId="5" w16cid:durableId="1893299949">
    <w:abstractNumId w:val="1"/>
  </w:num>
  <w:num w:numId="6" w16cid:durableId="1005211080">
    <w:abstractNumId w:val="6"/>
  </w:num>
  <w:num w:numId="7" w16cid:durableId="1386101991">
    <w:abstractNumId w:val="4"/>
  </w:num>
  <w:num w:numId="8" w16cid:durableId="399180925">
    <w:abstractNumId w:val="7"/>
  </w:num>
  <w:num w:numId="9" w16cid:durableId="56977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078E"/>
    <w:rsid w:val="00224E12"/>
    <w:rsid w:val="0045078E"/>
    <w:rsid w:val="00A336AE"/>
    <w:rsid w:val="00C6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E22815"/>
  <w15:docId w15:val="{41A0B651-E126-46A1-AA3C-03DFD67B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1710</Words>
  <Characters>1865</Characters>
  <Application>Microsoft Office Word</Application>
  <DocSecurity>0</DocSecurity>
  <Lines>186</Lines>
  <Paragraphs>111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2399067119@qq.com</cp:lastModifiedBy>
  <cp:revision>2</cp:revision>
  <dcterms:created xsi:type="dcterms:W3CDTF">2025-12-27T09:50:00Z</dcterms:created>
  <dcterms:modified xsi:type="dcterms:W3CDTF">2025-12-27T09:50:00Z</dcterms:modified>
</cp:coreProperties>
</file>