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5CC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测试备份和恢复功能</w:t>
      </w:r>
      <w:bookmarkStart w:id="0" w:name="_GoBack"/>
      <w:bookmarkEnd w:id="0"/>
    </w:p>
    <w:p w14:paraId="3145B659">
      <w:r>
        <w:drawing>
          <wp:inline distT="0" distB="0" distL="114300" distR="114300">
            <wp:extent cx="4907915" cy="2354580"/>
            <wp:effectExtent l="0" t="0" r="146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02025" cy="267335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1665" cy="240220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D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2025-12-13T05:01:51Z</dcterms:created>
  <dc:creator>32307</dc:creator>
  <cp:lastModifiedBy>ฅ՞•ﻌ•՞ฅ译文</cp:lastModifiedBy>
  <dcterms:modified xsi:type="dcterms:W3CDTF">2025-12-13T05:02:26Z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eyJoZGlkIjoiYTc1ODFlODFiYjM1MTE0MmE4NGM4NzkyMDliMzE2OTYiLCJ1c2VySWQiOiI5MTgzOTM4NjAifQ==</vt:lpwstr>
  </property>
  <property fmtid="{D5CDD505-2E9C-101B-9397-08002B2CF9AE}" pid="4" name="ICV">
    <vt:lpwstr>6FB9351304524016BA2324E9B701D477_12</vt:lpwstr>
  </property>
</Properties>
</file>