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rFonts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sz w:val="52"/>
          <w:szCs w:val="52"/>
        </w:rPr>
        <w:t>废气检测设备维保管理系统V1.0</w:t>
      </w: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用户手册</w:t>
      </w:r>
    </w:p>
    <w:p>
      <w:pPr>
        <w:jc w:val="center"/>
        <w:rPr>
          <w:rFonts w:hint="eastAsia"/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</w:p>
    <w:p>
      <w:pPr>
        <w:jc w:val="center"/>
        <w:rPr>
          <w:rFonts w:hint="eastAsia"/>
          <w:sz w:val="52"/>
          <w:szCs w:val="52"/>
        </w:rPr>
      </w:pPr>
    </w:p>
    <w:p>
      <w:pPr>
        <w:spacing w:after="156"/>
        <w:ind w:firstLine="0" w:firstLineChars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目 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录</w:t>
      </w:r>
    </w:p>
    <w:p>
      <w:pPr>
        <w:pStyle w:val="8"/>
        <w:tabs>
          <w:tab w:val="right" w:leader="dot" w:pos="9354"/>
        </w:tabs>
        <w:jc w:val="center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目录</w:t>
      </w:r>
      <w:bookmarkStart w:id="0" w:name="_GoBack"/>
      <w:bookmarkEnd w:id="0"/>
    </w:p>
    <w:p>
      <w:pPr>
        <w:rPr>
          <w:szCs w:val="32"/>
        </w:rPr>
      </w:pPr>
    </w:p>
    <w:p>
      <w:pPr>
        <w:rPr>
          <w:szCs w:val="32"/>
        </w:rPr>
      </w:pPr>
    </w:p>
    <w:p>
      <w:pPr>
        <w:pStyle w:val="8"/>
        <w:tabs>
          <w:tab w:val="right" w:leader="dot" w:pos="9354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TOC \o "1-6" \h \z \u </w:instrText>
      </w:r>
      <w:r>
        <w:rPr>
          <w:szCs w:val="32"/>
        </w:rPr>
        <w:fldChar w:fldCharType="separate"/>
      </w:r>
      <w:r>
        <w:rPr>
          <w:szCs w:val="32"/>
        </w:rPr>
        <w:fldChar w:fldCharType="begin"/>
      </w:r>
      <w:r>
        <w:rPr>
          <w:szCs w:val="32"/>
        </w:rPr>
        <w:instrText xml:space="preserve"> HYPERLINK \l _Toc18653 </w:instrText>
      </w:r>
      <w:r>
        <w:rPr>
          <w:szCs w:val="32"/>
        </w:rPr>
        <w:fldChar w:fldCharType="separate"/>
      </w:r>
      <w:r>
        <w:rPr>
          <w:rFonts w:hint="default" w:ascii="Times New Roman" w:hAnsi="Times New Roman" w:eastAsia="黑体"/>
          <w:i w:val="0"/>
        </w:rPr>
        <w:t xml:space="preserve">1 </w:t>
      </w:r>
      <w:r>
        <w:t>概述</w:t>
      </w:r>
      <w:r>
        <w:tab/>
      </w:r>
      <w:r>
        <w:fldChar w:fldCharType="begin"/>
      </w:r>
      <w:r>
        <w:instrText xml:space="preserve"> PAGEREF _Toc18653 \h </w:instrText>
      </w:r>
      <w:r>
        <w:fldChar w:fldCharType="separate"/>
      </w:r>
      <w:r>
        <w:t>1</w:t>
      </w:r>
      <w:r>
        <w:fldChar w:fldCharType="end"/>
      </w:r>
      <w:r>
        <w:rPr>
          <w:szCs w:val="32"/>
        </w:rPr>
        <w:fldChar w:fldCharType="end"/>
      </w:r>
    </w:p>
    <w:p>
      <w:pPr>
        <w:pStyle w:val="8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_Toc4938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黑体"/>
          <w:i w:val="0"/>
        </w:rPr>
        <w:t xml:space="preserve">2 </w:t>
      </w:r>
      <w:r>
        <w:t>使用说明</w:t>
      </w:r>
      <w:r>
        <w:tab/>
      </w:r>
      <w:r>
        <w:fldChar w:fldCharType="begin"/>
      </w:r>
      <w:r>
        <w:instrText xml:space="preserve"> PAGEREF _Toc4938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10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_Toc2295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黑体"/>
          <w:i w:val="0"/>
        </w:rPr>
        <w:t xml:space="preserve">2.1 </w:t>
      </w:r>
      <w:r>
        <w:t>修改配置文件</w:t>
      </w:r>
      <w:r>
        <w:tab/>
      </w:r>
      <w:r>
        <w:fldChar w:fldCharType="begin"/>
      </w:r>
      <w:r>
        <w:instrText xml:space="preserve"> PAGEREF _Toc2295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10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_Toc7561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黑体"/>
          <w:i w:val="0"/>
        </w:rPr>
        <w:t xml:space="preserve">2.2 </w:t>
      </w:r>
      <w:r>
        <w:t>想定编辑</w:t>
      </w:r>
      <w:r>
        <w:tab/>
      </w:r>
      <w:r>
        <w:fldChar w:fldCharType="begin"/>
      </w:r>
      <w:r>
        <w:instrText xml:space="preserve"> PAGEREF _Toc7561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5"/>
        <w:tabs>
          <w:tab w:val="right" w:leader="dot" w:pos="9354"/>
          <w:tab w:val="clear" w:pos="934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_Toc25015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2.2.1 </w:t>
      </w:r>
      <w:r>
        <w:t>实体操作</w:t>
      </w:r>
      <w:r>
        <w:tab/>
      </w:r>
      <w:r>
        <w:fldChar w:fldCharType="begin"/>
      </w:r>
      <w:r>
        <w:instrText xml:space="preserve"> PAGEREF _Toc25015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9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_Toc10093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2.2.1.1 </w:t>
      </w:r>
      <w:r>
        <w:t>定位</w:t>
      </w:r>
      <w:r>
        <w:tab/>
      </w:r>
      <w:r>
        <w:fldChar w:fldCharType="begin"/>
      </w:r>
      <w:r>
        <w:instrText xml:space="preserve"> PAGEREF _Toc10093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9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_Toc6074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2.2.1.2 </w:t>
      </w:r>
      <w:r>
        <w:t>标绘</w:t>
      </w:r>
      <w:r>
        <w:tab/>
      </w:r>
      <w:r>
        <w:fldChar w:fldCharType="begin"/>
      </w:r>
      <w:r>
        <w:instrText xml:space="preserve"> PAGEREF _Toc6074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9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_Toc23029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2.2.1.3 </w:t>
      </w:r>
      <w:r>
        <w:t>删除</w:t>
      </w:r>
      <w:r>
        <w:tab/>
      </w:r>
      <w:r>
        <w:fldChar w:fldCharType="begin"/>
      </w:r>
      <w:r>
        <w:instrText xml:space="preserve"> PAGEREF _Toc23029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9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_Toc5004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2.2.1.4 </w:t>
      </w:r>
      <w:r>
        <w:t>复制</w:t>
      </w:r>
      <w:r>
        <w:tab/>
      </w:r>
      <w:r>
        <w:fldChar w:fldCharType="begin"/>
      </w:r>
      <w:r>
        <w:instrText xml:space="preserve"> PAGEREF _Toc5004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9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_Toc30944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2.2.1.5 </w:t>
      </w:r>
      <w:r>
        <w:t>粘贴</w:t>
      </w:r>
      <w:r>
        <w:tab/>
      </w:r>
      <w:r>
        <w:fldChar w:fldCharType="begin"/>
      </w:r>
      <w:r>
        <w:instrText xml:space="preserve"> PAGEREF _Toc30944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9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_Toc6604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  <w:lang w:eastAsia="zh-CN"/>
        </w:rPr>
        <w:t xml:space="preserve">2.2.1.6 </w:t>
      </w:r>
      <w:r>
        <w:rPr>
          <w:rFonts w:hint="eastAsia"/>
          <w:lang w:eastAsia="zh-CN"/>
        </w:rPr>
        <w:t>兵力树</w:t>
      </w:r>
      <w:r>
        <w:tab/>
      </w:r>
      <w:r>
        <w:fldChar w:fldCharType="begin"/>
      </w:r>
      <w:r>
        <w:instrText xml:space="preserve"> PAGEREF _Toc6604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10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_Toc28353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黑体"/>
          <w:i w:val="0"/>
        </w:rPr>
        <w:t xml:space="preserve">2.3 </w:t>
      </w:r>
      <w:r>
        <w:t>运行想定</w:t>
      </w:r>
      <w:r>
        <w:tab/>
      </w:r>
      <w:r>
        <w:fldChar w:fldCharType="begin"/>
      </w:r>
      <w:r>
        <w:instrText xml:space="preserve"> PAGEREF _Toc28353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10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_Toc2409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黑体"/>
          <w:i w:val="0"/>
        </w:rPr>
        <w:t xml:space="preserve">2.4 </w:t>
      </w:r>
      <w:r>
        <w:rPr>
          <w:rFonts w:hint="eastAsia"/>
          <w:lang w:eastAsia="zh-CN"/>
        </w:rPr>
        <w:t>三维地图</w:t>
      </w:r>
      <w:r>
        <w:tab/>
      </w:r>
      <w:r>
        <w:fldChar w:fldCharType="begin"/>
      </w:r>
      <w:r>
        <w:instrText xml:space="preserve"> PAGEREF _Toc2409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5"/>
        <w:tabs>
          <w:tab w:val="right" w:leader="dot" w:pos="9354"/>
          <w:tab w:val="clear" w:pos="934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_Toc27340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2.4.1 </w:t>
      </w:r>
      <w:r>
        <w:rPr>
          <w:rFonts w:hint="eastAsia"/>
          <w:lang w:eastAsia="zh-CN"/>
        </w:rPr>
        <w:t>地图操作</w:t>
      </w:r>
      <w:r>
        <w:tab/>
      </w:r>
      <w:r>
        <w:fldChar w:fldCharType="begin"/>
      </w:r>
      <w:r>
        <w:instrText xml:space="preserve"> PAGEREF _Toc27340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5"/>
        <w:tabs>
          <w:tab w:val="right" w:leader="dot" w:pos="9354"/>
          <w:tab w:val="clear" w:pos="934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_Toc30911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  <w:lang w:eastAsia="zh-CN"/>
        </w:rPr>
        <w:t xml:space="preserve">2.4.2 </w:t>
      </w:r>
      <w:r>
        <w:rPr>
          <w:rFonts w:hint="eastAsia"/>
          <w:lang w:eastAsia="zh-CN"/>
        </w:rPr>
        <w:t>地图导入</w:t>
      </w:r>
      <w:r>
        <w:tab/>
      </w:r>
      <w:r>
        <w:fldChar w:fldCharType="begin"/>
      </w:r>
      <w:r>
        <w:instrText xml:space="preserve"> PAGEREF _Toc30911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pStyle w:val="10"/>
        <w:tabs>
          <w:tab w:val="right" w:leader="dot" w:pos="9354"/>
        </w:tabs>
      </w:pPr>
      <w:r>
        <w:rPr>
          <w:rFonts w:ascii="Times New Roman" w:hAnsi="Times New Roman" w:eastAsia="宋体"/>
          <w:szCs w:val="32"/>
        </w:rPr>
        <w:fldChar w:fldCharType="begin"/>
      </w:r>
      <w:r>
        <w:rPr>
          <w:rFonts w:ascii="Times New Roman" w:hAnsi="Times New Roman" w:eastAsia="宋体"/>
          <w:szCs w:val="32"/>
        </w:rPr>
        <w:instrText xml:space="preserve"> HYPERLINK \l _Toc9729 </w:instrText>
      </w:r>
      <w:r>
        <w:rPr>
          <w:rFonts w:ascii="Times New Roman" w:hAnsi="Times New Roman" w:eastAsia="宋体"/>
          <w:szCs w:val="32"/>
        </w:rPr>
        <w:fldChar w:fldCharType="separate"/>
      </w:r>
      <w:r>
        <w:rPr>
          <w:rFonts w:hint="default" w:ascii="Times New Roman" w:hAnsi="Times New Roman" w:eastAsia="黑体"/>
          <w:i w:val="0"/>
          <w:lang w:eastAsia="zh-CN"/>
        </w:rPr>
        <w:t xml:space="preserve">2.5 </w:t>
      </w:r>
      <w:r>
        <w:rPr>
          <w:rFonts w:hint="eastAsia"/>
          <w:lang w:eastAsia="zh-CN"/>
        </w:rPr>
        <w:t>系统状态</w:t>
      </w:r>
      <w:r>
        <w:tab/>
      </w:r>
      <w:r>
        <w:fldChar w:fldCharType="begin"/>
      </w:r>
      <w:r>
        <w:instrText xml:space="preserve"> PAGEREF _Toc9729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  <w:szCs w:val="32"/>
        </w:rPr>
        <w:fldChar w:fldCharType="end"/>
      </w:r>
    </w:p>
    <w:p>
      <w:pPr>
        <w:jc w:val="center"/>
        <w:rPr>
          <w:rFonts w:hint="eastAsia"/>
          <w:sz w:val="52"/>
          <w:szCs w:val="52"/>
        </w:rPr>
      </w:pPr>
      <w:r>
        <w:rPr>
          <w:rFonts w:ascii="Times New Roman" w:hAnsi="Times New Roman" w:eastAsia="宋体"/>
          <w:szCs w:val="32"/>
        </w:rPr>
        <w:fldChar w:fldCharType="end"/>
      </w:r>
    </w:p>
    <w:p>
      <w:pPr>
        <w:widowControl/>
        <w:jc w:val="left"/>
        <w:rPr>
          <w:sz w:val="21"/>
          <w:szCs w:val="21"/>
        </w:rPr>
      </w:pPr>
      <w:r>
        <w:br w:type="page"/>
      </w:r>
    </w:p>
    <w:p>
      <w:pPr>
        <w:pStyle w:val="3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首页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双击应用程序或应用程序的快捷方式，系统启动后，我们可以直接进入系统界面，可以点击系统上的功能按钮进行相应上得功能操作。如图所示：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80000" cy="3467100"/>
            <wp:effectExtent l="0" t="0" r="381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检测管理</w:t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实时检测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点击实时检测按钮，进入实时检测界面，我们可以看到实时检测信息，如图所示：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80000" cy="346710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连接：已连接；</w:t>
      </w:r>
    </w:p>
    <w:p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检测点：；</w:t>
      </w:r>
    </w:p>
    <w:p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空气流：0-1200；</w:t>
      </w:r>
    </w:p>
    <w:p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流：0-300；</w:t>
      </w:r>
    </w:p>
    <w:p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显示主要包括：多个参数选择：外接矩形；最小面积的外接矩形；凸包；重心；标号等设置。还可以看到实时检测图像展示。</w:t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检测窗口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点击检测窗口按钮，进入检测窗口界面，我们可以看到检测窗口设置项，如图所示：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80000" cy="3467100"/>
            <wp:effectExtent l="0" t="0" r="825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检测窗口设置主要包括检测窗口设置，属性选择，日期格式，时间格式；</w:t>
      </w:r>
    </w:p>
    <w:p>
      <w:pPr>
        <w:numPr>
          <w:ilvl w:val="0"/>
          <w:numId w:val="2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检测窗口设置：</w:t>
      </w:r>
    </w:p>
    <w:p>
      <w:pPr>
        <w:numPr>
          <w:ilvl w:val="0"/>
          <w:numId w:val="3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检测窗口名：全检测</w:t>
      </w:r>
    </w:p>
    <w:p>
      <w:pPr>
        <w:numPr>
          <w:ilvl w:val="0"/>
          <w:numId w:val="3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检测窗口选择：实时检测窗；历史检测窗；</w:t>
      </w:r>
    </w:p>
    <w:p>
      <w:pPr>
        <w:numPr>
          <w:ilvl w:val="0"/>
          <w:numId w:val="4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属性选择：</w:t>
      </w:r>
    </w:p>
    <w:p>
      <w:pPr>
        <w:numPr>
          <w:ilvl w:val="0"/>
          <w:numId w:val="5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主要包括多个选择项设置：显示列标题；显示空气纯度；显示状态栏；显示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含量；报警自动卷；滚小数点后显示位数：1；新报警位置：最前；</w:t>
      </w:r>
    </w:p>
    <w:p>
      <w:pPr>
        <w:numPr>
          <w:ilvl w:val="0"/>
          <w:numId w:val="5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日期格式：YY/MM/DD；YYYY/MM/DD；MM/DD；YY年/MM月/DD日；</w:t>
      </w:r>
    </w:p>
    <w:p>
      <w:pPr>
        <w:numPr>
          <w:ilvl w:val="0"/>
          <w:numId w:val="5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时间格式：时；分；秒；毫秒。</w:t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检测对象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点击检测对象按钮，进入检测对象界面，我们可以看到检测对象信息，如图所示：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选择需要检测的对象设置主要包括：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检测点的显示；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检测空气纯度；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检测空气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含量；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检测参数修改操作；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检测违规操作；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报警系统显示；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报警次数；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打印记录；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调试记录；</w:t>
      </w:r>
    </w:p>
    <w:p>
      <w:pPr>
        <w:numPr>
          <w:ilvl w:val="0"/>
          <w:numId w:val="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添加其他检测对象：空气流动性。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80000" cy="3467100"/>
            <wp:effectExtent l="0" t="0" r="762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检测参数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点击检测参数按钮，进入检测参数界面，我们可以看到检测参数项，如图所示：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80000" cy="346710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检测参数主要包括：</w:t>
      </w:r>
    </w:p>
    <w:p>
      <w:pPr>
        <w:numPr>
          <w:ilvl w:val="0"/>
          <w:numId w:val="8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检测编号：JC-0013435；</w:t>
      </w:r>
    </w:p>
    <w:p>
      <w:pPr>
        <w:numPr>
          <w:ilvl w:val="0"/>
          <w:numId w:val="9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实验参数检测：</w:t>
      </w:r>
    </w:p>
    <w:p>
      <w:pPr>
        <w:numPr>
          <w:ilvl w:val="0"/>
          <w:numId w:val="10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一次吸合空气：130；</w:t>
      </w:r>
    </w:p>
    <w:p>
      <w:pPr>
        <w:numPr>
          <w:ilvl w:val="0"/>
          <w:numId w:val="10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二次吸合空气：240；</w:t>
      </w:r>
    </w:p>
    <w:p>
      <w:pPr>
        <w:numPr>
          <w:ilvl w:val="0"/>
          <w:numId w:val="10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释放空气：170；</w:t>
      </w:r>
    </w:p>
    <w:p>
      <w:pPr>
        <w:numPr>
          <w:ilvl w:val="0"/>
          <w:numId w:val="11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时间参数监测：</w:t>
      </w:r>
    </w:p>
    <w:p>
      <w:pPr>
        <w:numPr>
          <w:ilvl w:val="0"/>
          <w:numId w:val="12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吸合时间：14；</w:t>
      </w:r>
    </w:p>
    <w:p>
      <w:pPr>
        <w:numPr>
          <w:ilvl w:val="0"/>
          <w:numId w:val="12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回跳时间：30；</w:t>
      </w:r>
    </w:p>
    <w:p>
      <w:pPr>
        <w:numPr>
          <w:ilvl w:val="0"/>
          <w:numId w:val="12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释放时间：15。</w:t>
      </w:r>
    </w:p>
    <w:p>
      <w:pPr>
        <w:pStyle w:val="3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结果分析</w:t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结果列表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点击结果列表按钮，进入结果列表界面，如图所示：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10160" b="6350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条件设置：</w:t>
      </w:r>
    </w:p>
    <w:p>
      <w:pPr>
        <w:numPr>
          <w:ilvl w:val="0"/>
          <w:numId w:val="14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时均值；审核后数据；所有状态；2014-08-02,11；2014-08-06,10；</w:t>
      </w:r>
    </w:p>
    <w:p>
      <w:pPr>
        <w:numPr>
          <w:ilvl w:val="0"/>
          <w:numId w:val="15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参数选择：</w:t>
      </w:r>
    </w:p>
    <w:p>
      <w:pPr>
        <w:numPr>
          <w:ilvl w:val="0"/>
          <w:numId w:val="16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二氧化碳；SO2折算浓度；氮氧化物；NOX折算浓度；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折算浓度；氧气含量；烟气压力；烟气流速；</w:t>
      </w:r>
    </w:p>
    <w:p>
      <w:pPr>
        <w:numPr>
          <w:ilvl w:val="0"/>
          <w:numId w:val="17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详细信息表：</w:t>
      </w:r>
    </w:p>
    <w:p>
      <w:pPr>
        <w:numPr>
          <w:ilvl w:val="0"/>
          <w:numId w:val="18"/>
        </w:numPr>
        <w:tabs>
          <w:tab w:val="left" w:pos="4620"/>
        </w:tabs>
        <w:spacing w:line="360" w:lineRule="auto"/>
        <w:ind w:left="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主要包括序号；检测时间；二氧化碳；SO2折算浓度；氮氧化物；NOX折算浓度；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折算浓度；氧气含量；烟气压力；烟气流速。</w:t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分钟数据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条件选择设置：分钟数据：2014-08-07,00；2014-08-07,10；报警线选择；如图所示：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76825" cy="3524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条件设置好后，会看到如下图所示的筛选后的表格信息，如图所示：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5715" b="12700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，我们可以看到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原始数据曲线图，如图所示：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7620" b="0"/>
            <wp:docPr id="9" name="图片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时均值</w:t>
      </w:r>
    </w:p>
    <w:p>
      <w:pPr>
        <w:spacing w:line="360" w:lineRule="auto"/>
        <w:jc w:val="left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条件选择设置：时均值：审核后数据；所有状态；2014-08-07,00；2014-08-07,14；如图所示：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2405" cy="333375"/>
            <wp:effectExtent l="0" t="0" r="444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条件设置好后，会看到如下图所示的筛选后的表格信息，如图所示：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6985" b="15240"/>
            <wp:docPr id="11" name="图片 1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，我们可以看到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时均值曲线图，如图所示：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0" b="9525"/>
            <wp:docPr id="12" name="图片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日均值</w:t>
      </w:r>
    </w:p>
    <w:p>
      <w:pPr>
        <w:spacing w:line="360" w:lineRule="auto"/>
        <w:jc w:val="left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条件选择设置：日均值：审核后数据；所有状态；2014-08-01,00；2014-08-07,10；如图所示：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2405" cy="342265"/>
            <wp:effectExtent l="0" t="0" r="444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条件设置好后，会看到如下图所示的筛选后的表格信息，如图所示：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2540" b="6350"/>
            <wp:docPr id="14" name="图片 1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，我们可以看到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日均值曲线图，如图所示：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3810" b="12065"/>
            <wp:docPr id="15" name="图片 1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室外空气质量远程监控</w:t>
      </w:r>
    </w:p>
    <w:p>
      <w:pPr>
        <w:tabs>
          <w:tab w:val="left" w:pos="4620"/>
        </w:tabs>
        <w:spacing w:line="360" w:lineRule="auto"/>
        <w:ind w:left="180" w:leftChars="100"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点击系统界面上的“</w:t>
      </w:r>
      <w:r>
        <w:rPr>
          <w:rFonts w:hint="eastAsia" w:ascii="宋体" w:hAnsi="宋体" w:eastAsia="宋体" w:cs="宋体"/>
          <w:sz w:val="24"/>
          <w:szCs w:val="24"/>
        </w:rPr>
        <w:t>室外空气质量远程监控</w:t>
      </w:r>
      <w:r>
        <w:rPr>
          <w:rFonts w:ascii="宋体" w:hAnsi="宋体" w:eastAsia="宋体" w:cs="宋体"/>
          <w:sz w:val="24"/>
          <w:szCs w:val="24"/>
        </w:rPr>
        <w:t>”按钮进行操作</w:t>
      </w:r>
      <w:r>
        <w:rPr>
          <w:rFonts w:hint="eastAsia" w:ascii="宋体" w:hAnsi="宋体" w:eastAsia="宋体" w:cs="宋体"/>
          <w:sz w:val="24"/>
          <w:szCs w:val="24"/>
        </w:rPr>
        <w:t>，点击按钮就能进入到对应界面，界面中除了显示出对应的功能和数据信息，点击其中任意按钮都能进入对应的界面中，如下图所示：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0" b="0"/>
            <wp:docPr id="16" name="图片 16" descr="/Users/dawazi/Desktop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/Users/dawazi/Desktop/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报警查询</w:t>
      </w:r>
    </w:p>
    <w:p>
      <w:pPr>
        <w:spacing w:line="360" w:lineRule="auto"/>
        <w:jc w:val="left"/>
        <w:rPr>
          <w:rFonts w:ascii="宋体" w:hAnsi="宋体" w:eastAsia="宋体" w:cs="Calibri"/>
          <w:sz w:val="24"/>
          <w:szCs w:val="24"/>
        </w:rPr>
      </w:pPr>
      <w:r>
        <w:rPr>
          <w:rFonts w:hint="eastAsia" w:ascii="宋体" w:hAnsi="宋体" w:eastAsia="宋体" w:cs="Calibri"/>
          <w:sz w:val="24"/>
          <w:szCs w:val="24"/>
        </w:rPr>
        <w:t>点击报警查询按钮，进入报警查询界面，如图所示：</w:t>
      </w:r>
    </w:p>
    <w:p>
      <w:pPr>
        <w:spacing w:line="360" w:lineRule="auto"/>
        <w:jc w:val="left"/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</w:rPr>
        <w:drawing>
          <wp:inline distT="0" distB="0" distL="114300" distR="114300">
            <wp:extent cx="5080000" cy="3467100"/>
            <wp:effectExtent l="0" t="0" r="6985" b="18415"/>
            <wp:docPr id="17" name="图片 17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9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报警查询起始时间设置：2014-06-07；</w:t>
      </w:r>
    </w:p>
    <w:p>
      <w:pPr>
        <w:numPr>
          <w:ilvl w:val="0"/>
          <w:numId w:val="19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报警查询结束时间设置：2014-06-21；</w:t>
      </w:r>
    </w:p>
    <w:p>
      <w:pPr>
        <w:numPr>
          <w:ilvl w:val="0"/>
          <w:numId w:val="19"/>
        </w:num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报警查询显示信息表主要包括报警时间；报警原因等信息；比如：报警时间：2014-06-07 13:00；报警原因：空气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含量过多；</w:t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报警设置</w:t>
      </w:r>
    </w:p>
    <w:p>
      <w:pPr>
        <w:spacing w:line="360" w:lineRule="auto"/>
        <w:jc w:val="left"/>
        <w:rPr>
          <w:rFonts w:ascii="宋体" w:hAnsi="宋体" w:eastAsia="宋体" w:cs="Calibri"/>
          <w:sz w:val="24"/>
          <w:szCs w:val="24"/>
        </w:rPr>
      </w:pPr>
      <w:r>
        <w:rPr>
          <w:rFonts w:hint="eastAsia" w:ascii="宋体" w:hAnsi="宋体" w:eastAsia="宋体" w:cs="Calibri"/>
          <w:sz w:val="24"/>
          <w:szCs w:val="24"/>
        </w:rPr>
        <w:t>点击报警设置按钮，进入报警设置界面，如图所示：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0000" cy="3467100"/>
            <wp:effectExtent l="0" t="0" r="0" b="0"/>
            <wp:docPr id="18" name="图片 18" descr="../../0、截图/51煤矿管道一氧化碳浓度传感器测量管理系统---粉尘改成一氧化碳/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../../0、截图/51煤矿管道一氧化碳浓度传感器测量管理系统---粉尘改成一氧化碳/1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◆报警设置主要包括：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●名称：空气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信息告警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●别名：空气</w:t>
      </w:r>
      <w:r>
        <w:rPr>
          <w:rFonts w:ascii="宋体" w:hAnsi="宋体" w:eastAsia="宋体" w:cs="宋体"/>
          <w:sz w:val="24"/>
          <w:szCs w:val="24"/>
        </w:rPr>
        <w:t>一氧化碳</w:t>
      </w:r>
      <w:r>
        <w:rPr>
          <w:rFonts w:hint="eastAsia" w:ascii="宋体" w:hAnsi="宋体" w:eastAsia="宋体" w:cs="宋体"/>
          <w:sz w:val="24"/>
          <w:szCs w:val="24"/>
        </w:rPr>
        <w:t>信息告警1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●可用性：启用；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●告警设置选择：简单设置；高级设置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●告警方式：比较条件：大于10000；告警方式：高亮预警；</w:t>
      </w:r>
    </w:p>
    <w:p>
      <w:pPr>
        <w:pStyle w:val="4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触发报警</w:t>
      </w:r>
    </w:p>
    <w:p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点击触发报警按钮，进入触发报警界面，如图所示：</w:t>
      </w:r>
    </w:p>
    <w:p>
      <w:pPr>
        <w:spacing w:line="360" w:lineRule="auto"/>
        <w:jc w:val="left"/>
        <w:rPr>
          <w:rFonts w:ascii="宋体" w:hAnsi="宋体" w:eastAsia="宋体" w:cs="宋体"/>
          <w:bCs/>
          <w:sz w:val="24"/>
          <w:szCs w:val="24"/>
        </w:rPr>
      </w:pPr>
      <w:r>
        <w:rPr>
          <w:rFonts w:ascii="宋体" w:hAnsi="宋体" w:eastAsia="宋体" w:cs="宋体"/>
          <w:bCs/>
          <w:sz w:val="24"/>
          <w:szCs w:val="24"/>
        </w:rPr>
        <w:drawing>
          <wp:inline distT="0" distB="0" distL="114300" distR="114300">
            <wp:extent cx="5080000" cy="3467100"/>
            <wp:effectExtent l="0" t="0" r="0" b="0"/>
            <wp:docPr id="19" name="图片 19" descr="../../0、截图/51煤矿管道一氧化碳浓度传感器测量管理系统---粉尘改成一氧化碳/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../../0、截图/51煤矿管道一氧化碳浓度传感器测量管理系统---粉尘改成一氧化碳/15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jc w:val="left"/>
        <w:rPr>
          <w:rFonts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空气质量检测曲线</w:t>
      </w:r>
    </w:p>
    <w:p>
      <w:pPr>
        <w:tabs>
          <w:tab w:val="left" w:pos="4620"/>
        </w:tabs>
        <w:spacing w:line="360" w:lineRule="auto"/>
        <w:ind w:left="180" w:leftChars="100"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点击系统界面上的“</w:t>
      </w:r>
      <w:r>
        <w:rPr>
          <w:rFonts w:hint="eastAsia" w:ascii="宋体" w:hAnsi="宋体" w:eastAsia="宋体" w:cs="宋体"/>
          <w:sz w:val="24"/>
          <w:szCs w:val="24"/>
        </w:rPr>
        <w:t>空气质量检测曲线</w:t>
      </w:r>
      <w:r>
        <w:rPr>
          <w:rFonts w:ascii="宋体" w:hAnsi="宋体" w:eastAsia="宋体" w:cs="宋体"/>
          <w:sz w:val="24"/>
          <w:szCs w:val="24"/>
        </w:rPr>
        <w:t>”按钮进行操作</w:t>
      </w:r>
      <w:r>
        <w:rPr>
          <w:rFonts w:hint="eastAsia" w:ascii="宋体" w:hAnsi="宋体" w:eastAsia="宋体" w:cs="宋体"/>
          <w:sz w:val="24"/>
          <w:szCs w:val="24"/>
        </w:rPr>
        <w:t>，点击按钮就能进入到对应界面，界面中除了显示出对应的功能和数据信息，点击其中任意按钮都能进入对应的界面中，如下图所示：</w:t>
      </w:r>
    </w:p>
    <w:p>
      <w:pPr>
        <w:pStyle w:val="3"/>
        <w:spacing w:line="360" w:lineRule="auto"/>
        <w:jc w:val="left"/>
        <w:rPr>
          <w:rFonts w:hint="eastAsia" w:ascii="宋体" w:hAnsi="宋体" w:eastAsia="宋体" w:cs="宋体"/>
          <w:b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drawing>
          <wp:inline distT="0" distB="0" distL="114300" distR="114300">
            <wp:extent cx="5080000" cy="3467100"/>
            <wp:effectExtent l="0" t="0" r="3810" b="7620"/>
            <wp:docPr id="20" name="图片 20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620"/>
        </w:tabs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</w:p>
    <w:sectPr>
      <w:headerReference r:id="rId3" w:type="default"/>
      <w:headerReference r:id="rId4" w:type="even"/>
      <w:pgSz w:w="11900" w:h="16840"/>
      <w:pgMar w:top="1191" w:right="1797" w:bottom="1191" w:left="1797" w:header="40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28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81472900"/>
      <w:docPartObj>
        <w:docPartGallery w:val="AutoText"/>
      </w:docPartObj>
    </w:sdtPr>
    <w:sdtContent>
      <w:p>
        <w:pPr>
          <w:pStyle w:val="7"/>
          <w:framePr w:wrap="notBeside" w:vAnchor="text" w:hAnchor="margin" w:xAlign="right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PAGE</w:instrText>
        </w:r>
        <w:r>
          <w:rPr>
            <w:rStyle w:val="14"/>
          </w:rPr>
          <w:fldChar w:fldCharType="separate"/>
        </w:r>
        <w:r>
          <w:rPr>
            <w:rStyle w:val="14"/>
          </w:rPr>
          <w:t>1</w:t>
        </w:r>
        <w:r>
          <w:rPr>
            <w:rStyle w:val="14"/>
          </w:rPr>
          <w:fldChar w:fldCharType="end"/>
        </w:r>
      </w:p>
    </w:sdtContent>
  </w:sdt>
  <w:p>
    <w:pPr>
      <w:pStyle w:val="7"/>
      <w:ind w:right="360"/>
      <w:jc w:val="left"/>
    </w:pPr>
    <w:r>
      <w:rPr>
        <w:rFonts w:hint="eastAsia"/>
      </w:rPr>
      <w:t>废气检测设备维保管理系统V1.0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99591109"/>
      <w:docPartObj>
        <w:docPartGallery w:val="AutoText"/>
      </w:docPartObj>
    </w:sdtPr>
    <w:sdtContent>
      <w:p>
        <w:pPr>
          <w:pStyle w:val="7"/>
          <w:framePr w:wrap="notBeside" w:vAnchor="text" w:hAnchor="margin" w:xAlign="right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PAGE</w:instrText>
        </w:r>
        <w:r>
          <w:rPr>
            <w:rStyle w:val="14"/>
          </w:rPr>
          <w:fldChar w:fldCharType="separate"/>
        </w:r>
        <w:r>
          <w:rPr>
            <w:rStyle w:val="14"/>
          </w:rPr>
          <w:fldChar w:fldCharType="end"/>
        </w:r>
      </w:p>
    </w:sdtContent>
  </w:sdt>
  <w:p>
    <w:pPr>
      <w:pStyle w:val="7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2">
    <w:nsid w:val="B5E306ED"/>
    <w:multiLevelType w:val="singleLevel"/>
    <w:tmpl w:val="B5E306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5">
    <w:nsid w:val="CF092B84"/>
    <w:multiLevelType w:val="singleLevel"/>
    <w:tmpl w:val="CF092B8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8">
    <w:nsid w:val="F4B5D9F5"/>
    <w:multiLevelType w:val="singleLevel"/>
    <w:tmpl w:val="F4B5D9F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0">
    <w:nsid w:val="0248C179"/>
    <w:multiLevelType w:val="singleLevel"/>
    <w:tmpl w:val="0248C17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2">
    <w:nsid w:val="2470EC97"/>
    <w:multiLevelType w:val="singleLevel"/>
    <w:tmpl w:val="2470EC9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3">
    <w:nsid w:val="25B654F3"/>
    <w:multiLevelType w:val="singleLevel"/>
    <w:tmpl w:val="25B654F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4">
    <w:nsid w:val="2A8F537B"/>
    <w:multiLevelType w:val="singleLevel"/>
    <w:tmpl w:val="2A8F537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5">
    <w:nsid w:val="4D4DC07F"/>
    <w:multiLevelType w:val="singleLevel"/>
    <w:tmpl w:val="4D4DC0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6">
    <w:nsid w:val="59ADCABA"/>
    <w:multiLevelType w:val="singleLevel"/>
    <w:tmpl w:val="59ADCA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7">
    <w:nsid w:val="5A241D34"/>
    <w:multiLevelType w:val="singleLevel"/>
    <w:tmpl w:val="5A241D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8">
    <w:nsid w:val="72183CF9"/>
    <w:multiLevelType w:val="singleLevel"/>
    <w:tmpl w:val="72183C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90"/>
  <w:drawingGridVerticalSpacing w:val="289"/>
  <w:displayHorizontalDrawingGridEvery w:val="0"/>
  <w:characterSpacingControl w:val="compressPunctuation"/>
  <w:compat>
    <w:spaceForUL/>
    <w:balanceSingleByteDoubleByteWidth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hN2ViY2FkNmMwNzk2Mzg5YTIzOGUyY2FmYWUwMzIifQ=="/>
  </w:docVars>
  <w:rsids>
    <w:rsidRoot w:val="00000000"/>
    <w:rsid w:val="6BE448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等线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 w:eastAsia="Times New Roman" w:cs="Times New Roman"/>
      <w:b/>
      <w:sz w:val="44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 w:cs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0"/>
  </w:style>
  <w:style w:type="table" w:default="1" w:styleId="11">
    <w:name w:val="Normal 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tabs>
        <w:tab w:val="right" w:leader="middleDot" w:pos="9344"/>
      </w:tabs>
      <w:spacing w:after="0" w:afterLines="0" w:line="312" w:lineRule="auto"/>
      <w:ind w:left="420"/>
      <w:jc w:val="left"/>
    </w:pPr>
    <w:rPr>
      <w:rFonts w:ascii="Times New Roman" w:hAnsi="Times New Roman" w:eastAsia="宋体"/>
      <w:iCs/>
      <w:sz w:val="22"/>
      <w:szCs w:val="20"/>
    </w:rPr>
  </w:style>
  <w:style w:type="paragraph" w:styleId="6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7">
    <w:name w:val="header"/>
    <w:basedOn w:val="1"/>
    <w:unhideWhenUsed/>
    <w:uiPriority w:val="0"/>
    <w:pPr>
      <w:pBdr>
        <w:bottom w:val="single" w:color="000000" w:sz="6" w:space="0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toc 1"/>
    <w:basedOn w:val="1"/>
    <w:next w:val="1"/>
    <w:unhideWhenUsed/>
    <w:qFormat/>
    <w:uiPriority w:val="39"/>
    <w:pPr>
      <w:spacing w:after="0" w:afterLines="0" w:line="312" w:lineRule="auto"/>
      <w:jc w:val="left"/>
    </w:pPr>
    <w:rPr>
      <w:rFonts w:ascii="Times New Roman" w:hAnsi="Times New Roman" w:eastAsia="宋体"/>
      <w:b/>
      <w:bCs/>
      <w:caps/>
      <w:sz w:val="22"/>
      <w:szCs w:val="20"/>
    </w:rPr>
  </w:style>
  <w:style w:type="paragraph" w:styleId="9">
    <w:name w:val="toc 4"/>
    <w:basedOn w:val="1"/>
    <w:next w:val="1"/>
    <w:unhideWhenUsed/>
    <w:qFormat/>
    <w:uiPriority w:val="39"/>
    <w:pPr>
      <w:spacing w:after="0" w:afterLines="0" w:line="312" w:lineRule="auto"/>
      <w:ind w:left="629"/>
      <w:jc w:val="left"/>
    </w:pPr>
    <w:rPr>
      <w:rFonts w:ascii="Times New Roman" w:hAnsi="Times New Roman" w:eastAsia="宋体"/>
      <w:sz w:val="22"/>
      <w:szCs w:val="18"/>
    </w:rPr>
  </w:style>
  <w:style w:type="paragraph" w:styleId="10">
    <w:name w:val="toc 2"/>
    <w:basedOn w:val="1"/>
    <w:next w:val="1"/>
    <w:unhideWhenUsed/>
    <w:qFormat/>
    <w:uiPriority w:val="39"/>
    <w:pPr>
      <w:spacing w:after="0" w:afterLines="0" w:line="312" w:lineRule="auto"/>
      <w:ind w:left="210"/>
      <w:jc w:val="left"/>
    </w:pPr>
    <w:rPr>
      <w:rFonts w:ascii="Times New Roman" w:hAnsi="Times New Roman" w:eastAsia="宋体"/>
      <w:smallCaps/>
      <w:sz w:val="22"/>
      <w:szCs w:val="20"/>
    </w:rPr>
  </w:style>
  <w:style w:type="table" w:styleId="12">
    <w:name w:val="Table Grid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14">
    <w:name w:val="page number"/>
    <w:basedOn w:val="13"/>
    <w:semiHidden/>
    <w:unhideWhenUsed/>
    <w:qFormat/>
    <w:uiPriority w:val="0"/>
  </w:style>
  <w:style w:type="character" w:customStyle="1" w:styleId="15">
    <w:name w:val="页眉 字符"/>
    <w:basedOn w:val="13"/>
    <w:qFormat/>
    <w:uiPriority w:val="0"/>
    <w:rPr>
      <w:rFonts w:eastAsia="宋体"/>
      <w:sz w:val="18"/>
      <w:szCs w:val="18"/>
    </w:rPr>
  </w:style>
  <w:style w:type="character" w:customStyle="1" w:styleId="16">
    <w:name w:val="页脚 字符"/>
    <w:basedOn w:val="13"/>
    <w:qFormat/>
    <w:uiPriority w:val="0"/>
    <w:rPr>
      <w:rFonts w:eastAsia="宋体"/>
      <w:sz w:val="18"/>
      <w:szCs w:val="18"/>
    </w:rPr>
  </w:style>
  <w:style w:type="character" w:customStyle="1" w:styleId="17">
    <w:name w:val="标题 1 字符"/>
    <w:basedOn w:val="13"/>
    <w:qFormat/>
    <w:uiPriority w:val="0"/>
    <w:rPr>
      <w:rFonts w:ascii="Times New Roman" w:hAnsi="Times New Roman" w:eastAsia="宋体" w:cs="Times New Roman"/>
      <w:b/>
      <w:sz w:val="4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1561</Words>
  <Characters>1755</Characters>
  <Lines>1</Lines>
  <Paragraphs>1</Paragraphs>
  <TotalTime>0</TotalTime>
  <ScaleCrop>false</ScaleCrop>
  <LinksUpToDate>false</LinksUpToDate>
  <CharactersWithSpaces>1756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2020-03-16T01:08:00Z</dcterms:created>
  <dc:creator>Administrator</dc:creator>
  <cp:lastModifiedBy>小翠</cp:lastModifiedBy>
  <dcterms:modified xsi:type="dcterms:W3CDTF">2023-08-25T06:05:02Z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41E3150F2598405AAB13C5519EC3F96C_12</vt:lpwstr>
  </property>
</Properties>
</file>