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2233"/>
          <w:sz w:val="34"/>
          <w:szCs w:val="34"/>
        </w:rPr>
        <w:t xml:space="preserve">Stream Crossing Replacement Prioritization</w:t>
      </w:r>
    </w:p>
    <w:p>
      <w:pPr>
        <w:spacing w:after="200"/>
      </w:pPr>
      <w:r>
        <w:rPr>
          <w:color w:val="14606C"/>
          <w:sz w:val="24"/>
          <w:szCs w:val="24"/>
        </w:rPr>
        <w:t xml:space="preserve">Guide and Metadata, Beta v2 (built on the Pilot model)</w:t>
      </w:r>
    </w:p>
    <w:p>
      <w:pPr>
        <w:pStyle w:val="Heading1"/>
        <w:spacing w:after="120" w:before="240"/>
      </w:pPr>
      <w:r>
        <w:t xml:space="preserve">General Information</w:t>
      </w:r>
    </w:p>
    <w:p>
      <w:pPr>
        <w:spacing w:after="120" w:line="276"/>
      </w:pPr>
      <w:r>
        <w:rPr>
          <w:b w:val="false"/>
          <w:bCs w:val="false"/>
          <w:i w:val="false"/>
          <w:iCs w:val="false"/>
          <w:sz w:val="21"/>
          <w:szCs w:val="21"/>
        </w:rPr>
        <w:t xml:space="preserve">Description: This dataset and associated Python model analyze attributes of stream crossings to evaluate flood vulnerability, environmental quality, structural risk, road criticality, wildlife connectivity, habitat quality, and environmental justice, and to estimate replacement cost for planning. The analysis provides scores, ranks, and qualitative classes for prioritization.</w:t>
      </w:r>
    </w:p>
    <w:p>
      <w:pPr>
        <w:spacing w:after="120" w:line="276"/>
      </w:pPr>
      <w:r>
        <w:rPr>
          <w:b w:val="false"/>
          <w:bCs w:val="false"/>
          <w:i w:val="false"/>
          <w:iCs w:val="false"/>
          <w:sz w:val="21"/>
          <w:szCs w:val="21"/>
        </w:rPr>
        <w:t xml:space="preserve">Purpose: To guide stream crossing management using stakeholder-informed, planning-level scores and ranks.</w:t>
      </w:r>
    </w:p>
    <w:p>
      <w:pPr>
        <w:spacing w:after="120" w:line="276"/>
      </w:pPr>
      <w:r>
        <w:rPr>
          <w:b w:val="false"/>
          <w:bCs w:val="false"/>
          <w:i w:val="false"/>
          <w:iCs w:val="false"/>
          <w:sz w:val="21"/>
          <w:szCs w:val="21"/>
        </w:rPr>
        <w:t xml:space="preserve">Relationship to the Pilot model: Beta v2 is built on the Pilot model. The criterion scoring logic is the Pilot logic. Beta v2 changes what is reported rather than how criteria are scored, with one exception: the Habitat Quality criterion formerly named habitat quality is renamed Habitat Condition Tier (score column HCTScr). The reporting changes are summarized in the Content Description and Reporting sections below.</w:t>
      </w:r>
    </w:p>
    <w:p>
      <w:pPr>
        <w:pStyle w:val="Heading1"/>
        <w:spacing w:after="120" w:before="240"/>
      </w:pPr>
      <w:r>
        <w:t xml:space="preserve">Creators</w:t>
      </w:r>
    </w:p>
    <w:p>
      <w:pPr>
        <w:spacing w:after="120" w:line="276"/>
      </w:pPr>
      <w:r>
        <w:rPr>
          <w:b w:val="false"/>
          <w:bCs w:val="false"/>
          <w:i w:val="false"/>
          <w:iCs w:val="false"/>
          <w:sz w:val="21"/>
          <w:szCs w:val="21"/>
        </w:rPr>
        <w:t xml:space="preserve">Koorosh (Kai) Asadifakhr (1), Polly Crocker (2), Kevin Lucey (2), Erin Bell (1), Weiwei Mo (1)</w:t>
      </w:r>
    </w:p>
    <w:p>
      <w:pPr>
        <w:spacing w:after="40" w:line="276"/>
      </w:pPr>
      <w:r>
        <w:rPr>
          <w:b w:val="false"/>
          <w:bCs w:val="false"/>
          <w:i w:val="false"/>
          <w:iCs w:val="false"/>
          <w:sz w:val="21"/>
          <w:szCs w:val="21"/>
        </w:rPr>
        <w:t xml:space="preserve">(1) University of New Hampshire. (2) New Hampshire Department of Environmental Services.</w:t>
      </w:r>
    </w:p>
    <w:p>
      <w:pPr>
        <w:spacing w:after="120" w:line="276"/>
      </w:pPr>
      <w:r>
        <w:rPr>
          <w:b w:val="false"/>
          <w:bCs w:val="false"/>
          <w:i w:val="false"/>
          <w:iCs w:val="false"/>
          <w:sz w:val="21"/>
          <w:szCs w:val="21"/>
        </w:rPr>
        <w:t xml:space="preserve">Contact: Koorosh.Asadifakhr@unh.edu</w:t>
      </w:r>
    </w:p>
    <w:p>
      <w:pPr>
        <w:pStyle w:val="Heading1"/>
        <w:spacing w:after="120" w:before="240"/>
      </w:pPr>
      <w:r>
        <w:t xml:space="preserve">Date and Version</w:t>
      </w:r>
    </w:p>
    <w:p>
      <w:pPr>
        <w:spacing w:after="40" w:line="276"/>
      </w:pPr>
      <w:r>
        <w:rPr>
          <w:b w:val="false"/>
          <w:bCs w:val="false"/>
          <w:i w:val="false"/>
          <w:iCs w:val="false"/>
          <w:sz w:val="21"/>
          <w:szCs w:val="21"/>
        </w:rPr>
        <w:t xml:space="preserve">Creation Date: 2024-12-31</w:t>
      </w:r>
    </w:p>
    <w:p>
      <w:pPr>
        <w:spacing w:after="40" w:line="276"/>
      </w:pPr>
      <w:r>
        <w:rPr>
          <w:b w:val="false"/>
          <w:bCs w:val="false"/>
          <w:i w:val="false"/>
          <w:iCs w:val="false"/>
          <w:sz w:val="21"/>
          <w:szCs w:val="21"/>
        </w:rPr>
        <w:t xml:space="preserve">Last Updated: 2026-07-08</w:t>
      </w:r>
    </w:p>
    <w:p>
      <w:pPr>
        <w:spacing w:after="120" w:line="276"/>
      </w:pPr>
      <w:r>
        <w:rPr>
          <w:b w:val="false"/>
          <w:bCs w:val="false"/>
          <w:i w:val="false"/>
          <w:iCs w:val="false"/>
          <w:sz w:val="21"/>
          <w:szCs w:val="21"/>
        </w:rPr>
        <w:t xml:space="preserve">Version: Beta v2 (built on the Pilot model)</w:t>
      </w:r>
    </w:p>
    <w:p>
      <w:pPr>
        <w:pStyle w:val="Heading1"/>
        <w:spacing w:after="120" w:before="240"/>
      </w:pPr>
      <w:r>
        <w:t xml:space="preserve">Source and Methodology</w:t>
      </w:r>
    </w:p>
    <w:p>
      <w:pPr>
        <w:spacing w:after="120" w:line="276"/>
      </w:pPr>
      <w:r>
        <w:rPr>
          <w:b w:val="false"/>
          <w:bCs w:val="false"/>
          <w:i w:val="false"/>
          <w:iCs w:val="false"/>
          <w:sz w:val="21"/>
          <w:szCs w:val="21"/>
        </w:rPr>
        <w:t xml:space="preserve">Data Sources: Data sources are outlined in the Data Decision Matrix and the Data Action Plan.</w:t>
      </w:r>
    </w:p>
    <w:p>
      <w:pPr>
        <w:spacing w:after="120" w:line="276"/>
      </w:pPr>
      <w:r>
        <w:rPr>
          <w:b w:val="false"/>
          <w:bCs w:val="false"/>
          <w:i w:val="false"/>
          <w:iCs w:val="false"/>
          <w:sz w:val="21"/>
          <w:szCs w:val="21"/>
        </w:rPr>
        <w:t xml:space="preserve">Methodology: Criterion scores are computed using a methodology adapted from the literature and refined by a technical advisory committee, as documented in the Data Decision Matrix. Criterion scores are weighted using values derived from a stakeholder survey. Goal scores are computed dynamically as the weighted average of the available criterion scores, so missing criteria are dropped from both the numerator and the denominator and the remaining weights are renormalized. Goal scores are normalized using min-max normalization and combined with the same dynamic weighted-average approach using the goal weights to produce the total score. Environmental Justice is the one exception: it enters the total using its raw 0 to 1 value (EJScr), not a normalized value.</w:t>
      </w:r>
    </w:p>
    <w:p>
      <w:pPr>
        <w:pStyle w:val="Heading1"/>
        <w:spacing w:after="120" w:before="240"/>
      </w:pPr>
      <w:r>
        <w:t xml:space="preserve">Scoring conventions</w:t>
      </w:r>
    </w:p>
    <w:p>
      <w:pPr>
        <w:spacing w:after="120" w:line="276"/>
      </w:pPr>
      <w:r>
        <w:rPr>
          <w:b w:val="false"/>
          <w:bCs w:val="false"/>
          <w:i w:val="false"/>
          <w:iCs w:val="false"/>
          <w:sz w:val="21"/>
          <w:szCs w:val="21"/>
        </w:rPr>
        <w:t xml:space="preserve">Each criterion is placed on a 0 to 1 scale, where 1 denotes the highest replacement priority and 0 the lowest.</w:t>
      </w:r>
    </w:p>
    <w:p>
      <w:pPr>
        <w:pStyle w:val="ListParagraph"/>
        <w:numPr>
          <w:ilvl w:val="0"/>
          <w:numId w:val="1"/>
        </w:numPr>
        <w:spacing w:after="60" w:line="276"/>
      </w:pPr>
      <w:r>
        <w:rPr>
          <w:sz w:val="21"/>
          <w:szCs w:val="21"/>
        </w:rPr>
        <w:t xml:space="preserve">Confirmed zero versus missing data. Where a statewide data source affirmatively confirms an absence, that absence is encoded as a real 0 so the crossing keeps an informative data point. Where a value was never collected, it is encoded as missing and is dropped from the goal calculation. Two criteria, flooding history (BlkFScr) and special species (SpSpScr), deliberately treat an absence of documentation as missing rather than as a confirmed zero, because the lack of a record more plausibly reflects incomplete surveying than a confirmed absence.</w:t>
      </w:r>
    </w:p>
    <w:p>
      <w:pPr>
        <w:pStyle w:val="ListParagraph"/>
        <w:numPr>
          <w:ilvl w:val="0"/>
          <w:numId w:val="1"/>
        </w:numPr>
        <w:spacing w:after="60" w:line="276"/>
      </w:pPr>
      <w:r>
        <w:rPr>
          <w:sz w:val="21"/>
          <w:szCs w:val="21"/>
        </w:rPr>
        <w:t xml:space="preserve">Confidence. Each goal and the total report the count of non-missing criteria as a string of the form present of total, for example 16 of 19. Read a rank together with its confidence, since a rank built on few criteria is less reliable than one built on all of them.</w:t>
      </w:r>
    </w:p>
    <w:p>
      <w:pPr>
        <w:pStyle w:val="ListParagraph"/>
        <w:numPr>
          <w:ilvl w:val="0"/>
          <w:numId w:val="1"/>
        </w:numPr>
        <w:spacing w:after="60" w:line="276"/>
      </w:pPr>
      <w:r>
        <w:rPr>
          <w:sz w:val="21"/>
          <w:szCs w:val="21"/>
        </w:rPr>
        <w:t xml:space="preserve">Classification. Qualitative classes from Very Low to Very High are assigned with Jenks natural breaks. Normalization and classes are computed within the set of crossings included in a run, so a filtered extent is classified against its own distribution.</w:t>
      </w:r>
    </w:p>
    <w:p>
      <w:pPr>
        <w:pStyle w:val="Heading1"/>
        <w:spacing w:after="120" w:before="240"/>
      </w:pPr>
      <w:r>
        <w:t xml:space="preserve">Mean-substituted results and reporting</w:t>
      </w:r>
    </w:p>
    <w:p>
      <w:pPr>
        <w:spacing w:after="120" w:line="276"/>
      </w:pPr>
      <w:r>
        <w:rPr>
          <w:b w:val="false"/>
          <w:bCs w:val="false"/>
          <w:i w:val="false"/>
          <w:iCs w:val="false"/>
          <w:sz w:val="21"/>
          <w:szCs w:val="21"/>
        </w:rPr>
        <w:t xml:space="preserve">A parallel mean-substituted family of outputs is produced, identified by the MS suffix (for example EQScrMS, FVMSRank, TotScrMS, and TotQualMS). Missing goal scores are filled with the mean of the non-missing goal scores before ranking, normalization, and classification, so a crossing missing a goal score is neither advantaged nor penalized relative to crossings with complete data.</w:t>
      </w:r>
    </w:p>
    <w:p>
      <w:pPr>
        <w:spacing w:after="120" w:line="276"/>
      </w:pPr>
      <w:r>
        <w:rPr>
          <w:b w:val="false"/>
          <w:bCs w:val="false"/>
          <w:i w:val="false"/>
          <w:iCs w:val="false"/>
          <w:sz w:val="21"/>
          <w:szCs w:val="21"/>
        </w:rPr>
        <w:t xml:space="preserve">The Excel report and the web interface report the mean-substituted family only. For each goal the report shows the MS rank and the MS class (for example FVMSRank and FVQualMS), and for the total it shows TotScrMS, TotMSRank, and TotQualMS. The dynamic (non-substituted) Rank and Qual columns are still computed by the model and are retained in results_all.csv and in the All Results sheet of the workbook, but they are not shown on the goal sheets or on Final Results.</w:t>
      </w:r>
    </w:p>
    <w:p>
      <w:pPr>
        <w:spacing w:after="120" w:line="276"/>
      </w:pPr>
      <w:r>
        <w:rPr>
          <w:b w:val="false"/>
          <w:bCs w:val="false"/>
          <w:i w:val="false"/>
          <w:iCs w:val="false"/>
          <w:sz w:val="21"/>
          <w:szCs w:val="21"/>
        </w:rPr>
        <w:t xml:space="preserve">Baseline comparison. The report can include a fixed Beta v2 baseline computed with the default survey-derived weightings over the full statewide extent. When a run departs from the default weightings or the full extent, each sheet gains Beta_ prefixed columns holding the baseline rank, class, and total score for the same crossings, matched on SADES_ID, and a Beta v2 sheet holds the full baseline record for those crossings. Baseline ranks are relative to all crossings statewide, whereas run ranks are relative to the crossings selected, so the two ranks are not on the same denominator.</w:t>
      </w:r>
    </w:p>
    <w:p>
      <w:pPr>
        <w:pStyle w:val="Heading1"/>
        <w:spacing w:after="120" w:before="240"/>
      </w:pPr>
      <w:r>
        <w:t xml:space="preserve">Content Description</w:t>
      </w:r>
    </w:p>
    <w:p>
      <w:pPr>
        <w:pStyle w:val="Heading2"/>
        <w:spacing w:after="80" w:before="180"/>
      </w:pPr>
      <w:r>
        <w:t xml:space="preserve">Identification</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SADES_ID</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Unique crossing identifier from the Statewide Asset Data Exchange System. Join key across every sheet and against the Beta v2 baseline.</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Location</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Plain-language label built as stream at road, town from StreamName, RoadNameF (or STREET), and Town. A leading NHDES assessment-unit identifier is stripped from the stream name, and an unnamed stream is labeled Unnamed stream.</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Landowner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Road owner or maintaining authority, copied from the OWNERSHIP_ field of the NHDOT road inventory, for example TOWN, PRIVATE, or DISTRICT 6.</w:t>
            </w:r>
          </w:p>
        </w:tc>
      </w:tr>
    </w:tbl>
    <w:p>
      <w:pPr>
        <w:pStyle w:val="Heading2"/>
        <w:spacing w:after="80" w:before="180"/>
      </w:pPr>
      <w:r>
        <w:t xml:space="preserve">Flood Vulnerability</w:t>
      </w:r>
    </w:p>
    <w:p>
      <w:pPr>
        <w:spacing w:after="120" w:line="276"/>
      </w:pPr>
      <w:r>
        <w:rPr>
          <w:b w:val="false"/>
          <w:bCs w:val="false"/>
          <w:i w:val="false"/>
          <w:iCs w:val="false"/>
          <w:sz w:val="21"/>
          <w:szCs w:val="21"/>
        </w:rPr>
        <w:t xml:space="preserve">Flood vulnerability is the dynamic weighted average of hydraulic capacity (HCScr) and documented flooding history (BlkFScr). Criterion weights: hydraulic capacity 0.865, flooding history 0.805. Flood Vulnerability is unchanged from the Pilot model.</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HC_2yr ... HC_100yr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Hydraulic capacity status at the 2, 10, 25, 50, and 100 year return periods: Overtop, Vulnerable, or Pass.</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HCScr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Hydraulic capacity score. Maximum sub-score across the available return periods, so the worst failure mode governs. Failure under a more frequent event and overtopping score higher. Pass scores 0. NaN only where no hydraulic capacity data exist, for example wetland crossings.</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BlckFlg / BlkFScr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Documented flooding history flag and score. 1 where flooding is documented, NaN where no record exists. Points are centroids of flooded-area polygons from NH Town Hazard Mitigation Plans snapped to the nearest crossing within 500 ft.</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FVScr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Flood Vulnerability goal score.</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FVMSRank / FVQualMS</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Mean-substituted rank and Jenks class reported on the Flood Vulnerability sheet.</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ConfFV</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Data completeness for Flood Vulnerability, reported as present of total criteria.</w:t>
            </w:r>
          </w:p>
        </w:tc>
      </w:tr>
    </w:tbl>
    <w:p>
      <w:pPr>
        <w:pStyle w:val="Heading2"/>
        <w:spacing w:after="80" w:before="180"/>
      </w:pPr>
      <w:r>
        <w:t xml:space="preserve">Environmental Quality</w:t>
      </w:r>
    </w:p>
    <w:p>
      <w:pPr>
        <w:spacing w:after="120" w:line="276"/>
      </w:pPr>
      <w:r>
        <w:rPr>
          <w:b w:val="false"/>
          <w:bCs w:val="false"/>
          <w:i w:val="false"/>
          <w:iCs w:val="false"/>
          <w:sz w:val="21"/>
          <w:szCs w:val="21"/>
        </w:rPr>
        <w:t xml:space="preserve">Environmental quality is the dynamic weighted average of erosion, geomorphic compatibility, and two water quality criteria that are admitted only when the erosion score is positive. Criterion weights: erosion 0.800, geomorphic compatibility 0.769, water quality 0.663. Geomorphic compatibility is unchanged.</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ErosScr / Erosion</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Erosion score and its Jenks class. Arithmetic mean of up to nine components (undermining scour upstream and downstream, opening obstruction, outlet streambed scour, sediment fill, bank erosion upstream and downstream, bank armoring upstream and downstream); components without data are skipped. In eight of the nine components a benign field reading is now scored 0 rather than dropped; for opening obstruction a blank reading is now treated as missing.</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GC_Score / GCScr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Geomorphic compatibility category and score. Fully Compatible 0, Mostly Compatible 0.25, Partially Compatible 0.50, Mostly Incompatible 0.75, Fully Incompatible 1. NaN only where no data exist.</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Impair / WQIScr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Reach-scale water quality impairment flag and score. Impaired 1, not impaired 0. Built from the NHDES Surface Water Quality Assessment, integrated reporting categories 4 and 5. A crossing that is not flagged is a determined non-impaired outcome, so 0 is a real score, not missing data.</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WWQI / WWQIScr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Watershed water quality impairment flag and score. Inside a HUC12-clipped impaired lake or impoundment watershed 1, otherwise a real 0. New criterion in Beta v2.</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EQScr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Environmental Quality goal score.</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EQMSRank / EQQualMS</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Mean-substituted rank and Jenks class reported on the Environmental Quality sheet.</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ConfEQ</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Data completeness for Environmental Quality.</w:t>
            </w:r>
          </w:p>
        </w:tc>
      </w:tr>
    </w:tbl>
    <w:p>
      <w:pPr>
        <w:pStyle w:val="Heading2"/>
        <w:spacing w:after="80" w:before="180"/>
      </w:pPr>
      <w:r>
        <w:t xml:space="preserve">Structural Risk</w:t>
      </w:r>
    </w:p>
    <w:p>
      <w:pPr>
        <w:spacing w:after="120" w:line="276"/>
      </w:pPr>
      <w:r>
        <w:rPr>
          <w:b w:val="false"/>
          <w:bCs w:val="false"/>
          <w:i w:val="false"/>
          <w:iCs w:val="false"/>
          <w:sz w:val="21"/>
          <w:szCs w:val="21"/>
        </w:rPr>
        <w:t xml:space="preserve">Structural risk is the dynamic weighted average of condition, size, and material. Criterion weights: condition 0.831, size 0.770, material 0.559. Depth of cover, previously weighted 0.770, has been removed from the goal. When the condition score is present and greater than 0, condition, size, and material all enter; when the condition score is 0 (Good) or missing, size is dropped.</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StructCond, UsHwCon, DsHwCon</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Condition of the structure, inlet headwall, and outlet headwall: Poor, Fair, or Good.</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CondScr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Combined condition score. Each condition is mapped Poor 1, Fair 0.5, Good 0. With all three present, 0.5 structure plus 0.3 inlet plus 0.2 outlet; with two present the weights are renormalized; with one present that value is used directly.</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UsSize / SizeScr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Upstream opening area (square feet) and its size score. Area is pi/4 times width squared for round culverts and width times opening height otherwise; an area of 0 is treated as missing. Bins: over 0 to 7.07 score 0, over 7.07 to 12.5 score 0.02, over 12.5 to 16 score 0.184, over 16 to 38.5 score 0.51, over 38.5 score 1.</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StructMat / MatScr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Construction material and its score. Steel-Corrugated, Steel-Smooth, and Aluminum-Corrugated 1; Masonry and Stone 0.25; Concrete 0.111; Plastic-Corrugated and Plastic-Smooth 0.028; Other and Wood 0.</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CoverDepth</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Depth of soil cover over the structure, feet. Retained as a field attribute only; the depth of cover criterion was removed from Structural Risk in the Pilot model and is not scored.</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SRScr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Structural Risk goal score.</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SRMSRank / SRQualMS</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Mean-substituted rank and Jenks class reported on the Structural Risk sheet.</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ConfSR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Data completeness for Structural Risk.</w:t>
            </w:r>
          </w:p>
        </w:tc>
      </w:tr>
    </w:tbl>
    <w:p>
      <w:pPr>
        <w:pStyle w:val="Heading2"/>
        <w:spacing w:after="80" w:before="180"/>
      </w:pPr>
      <w:r>
        <w:t xml:space="preserve">Road Criticality</w:t>
      </w:r>
    </w:p>
    <w:p>
      <w:pPr>
        <w:spacing w:after="120" w:line="276"/>
      </w:pPr>
      <w:r>
        <w:rPr>
          <w:b w:val="false"/>
          <w:bCs w:val="false"/>
          <w:i w:val="false"/>
          <w:iCs w:val="false"/>
          <w:sz w:val="21"/>
          <w:szCs w:val="21"/>
        </w:rPr>
        <w:t xml:space="preserve">Road criticality is the dynamic weighted average of annual average daily traffic, distance to important services, and functional classification. Criterion weights: AADT 0.592, distance to services 0.579, functional classification 0.537.</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AADT / AADTScr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Annual average daily traffic and its binned score. Under 2,000 score 0.028, 2,000 to 4,000 score 0.111, 4,000 to 6,000 score 0.25, 6,000 to 10,000 score 0.444, 10,000 to 20,000 score 0.694, 20,000 and above score 1.</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MinDstImP / DstIMPScr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Minimum distance to the nearest hospital, EMS, law enforcement, or fire station (miles) and its score. 0 to 0.5 score 1, over 0.5 to 1 score 0.75, over 1 to 1.5 score 0.5, over 1.5 to 2 score 0.25, over 2 score a real 0. Crossings beyond 2 miles are now scored rather than excluded.</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FUNCT_SYST / FncSysScr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FHWA functional classification and its score. 1 Interstate score 1, 2 score 0.833, 3 score 0.667, 4 score 0.5, 5 score 0.33, 6 score 0.167, 7 Local and 0 unclassified score 0.</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RCScr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Road Criticality goal score.</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RCMSRank / RCQualMS</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Mean-substituted rank and Jenks class reported on the Road Criticality sheet.</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ConfRC</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Data completeness for Road Criticality.</w:t>
            </w:r>
          </w:p>
        </w:tc>
      </w:tr>
    </w:tbl>
    <w:p>
      <w:pPr>
        <w:pStyle w:val="Heading2"/>
        <w:spacing w:after="80" w:before="180"/>
      </w:pPr>
      <w:r>
        <w:t xml:space="preserve">Wildlife Connectivity</w:t>
      </w:r>
    </w:p>
    <w:p>
      <w:pPr>
        <w:spacing w:after="120" w:line="276"/>
      </w:pPr>
      <w:r>
        <w:rPr>
          <w:b w:val="false"/>
          <w:bCs w:val="false"/>
          <w:i w:val="false"/>
          <w:iCs w:val="false"/>
          <w:sz w:val="21"/>
          <w:szCs w:val="21"/>
        </w:rPr>
        <w:t xml:space="preserve">Wildlife connectivity is the dynamic weighted average of aquatic organism passage, special species (admitted only when the aquatic organism passage score is greater than 0), and wildlife corridor. Criterion weights: aquatic organism passage 0.779, special species 0.729, terrestrial organism passage (wildlife corridor) 0.671.</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AOP_Score / AOPScr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Aquatic organism passage category and score. Full Passage 0, Reduced Passage 0.33, Passage only for Adult Trout 0.66, No Passage 1. NaN only where no data exist.</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Sp_Sp_FG / SpSpScr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Special species presence flag and score. Confirmed presence 1, absence NaN. Source: NH Fish and Game, six priority fish species. Admitted to the goal score only when the aquatic organism passage score is greater than 0.</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WlCo / WlCoScr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Wildlife corridor flag and score. Inside a mapped corridor 1, otherwise a real 0. Point-in-polygon containment against the NH Fish and Game statewide wildlife connectivity model. New criterion in Beta v2.</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WLScr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Wildlife Connectivity goal score.</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WLMSRank / WLQualMS</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Mean-substituted rank and Jenks class reported on the Wildlife Connectivity sheet.</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ConfWL</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Data completeness for Wildlife Connectivity.</w:t>
            </w:r>
          </w:p>
        </w:tc>
      </w:tr>
    </w:tbl>
    <w:p>
      <w:pPr>
        <w:pStyle w:val="Heading2"/>
        <w:spacing w:after="80" w:before="180"/>
      </w:pPr>
      <w:r>
        <w:t xml:space="preserve">Habitat Quality</w:t>
      </w:r>
    </w:p>
    <w:p>
      <w:pPr>
        <w:spacing w:after="120" w:line="276"/>
      </w:pPr>
      <w:r>
        <w:rPr>
          <w:b w:val="false"/>
          <w:bCs w:val="false"/>
          <w:i w:val="false"/>
          <w:iCs w:val="false"/>
          <w:sz w:val="21"/>
          <w:szCs w:val="21"/>
        </w:rPr>
        <w:t xml:space="preserve">Habitat quality is the dynamic weighted average of Habitat Condition Tier, wetland proximity, and conservation status. Criterion weights: Habitat Condition Tier 0.694, wetland proximity 0.700, conservation status 0.620. The first criterion is renamed from habitat quality to Habitat Condition Tier in Beta v2 to distinguish it from the goal name.</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WAP_TIER / HQ_WAP / HCTScr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Habitat condition tier of the highest-ranked habitat polygon within 100 ft, from the 2020 NH Wildlife Action Plan. Tier 1 scores 1.0, Tier 2 scores 0.66, Tier 3 scores 0.33, outside any ranked tier a real 0. HCTScr is the criterion score (was HQScr).</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Wetlnd / WtlndScr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Wetland proximity flag and score. A wetland from the National Wetlands Inventory (Riverine excluded) within 100 ft scores 1, none within 100 ft a real 0.</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ConsvStat / CnsvStScr</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Conservation status flag and score. Conserved or public land from the NH GRANIT Conservation/Public Lands layer within 100 ft scores 1, none within 100 ft a real 0.</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HQGScr</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Habitat Quality goal score.</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HQGMSRank / HQGQualMS</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Mean-substituted rank and Jenks class reported on the Habitat Quality sheet.</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ConfHQG</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Data completeness for Habitat Quality.</w:t>
            </w:r>
          </w:p>
        </w:tc>
      </w:tr>
    </w:tbl>
    <w:p>
      <w:pPr>
        <w:pStyle w:val="Heading2"/>
        <w:spacing w:after="80" w:before="180"/>
      </w:pPr>
      <w:r>
        <w:t xml:space="preserve">Environmental Justice</w:t>
      </w:r>
    </w:p>
    <w:p>
      <w:pPr>
        <w:spacing w:after="120" w:line="276"/>
      </w:pPr>
      <w:r>
        <w:rPr>
          <w:b w:val="false"/>
          <w:bCs w:val="false"/>
          <w:i w:val="false"/>
          <w:iCs w:val="false"/>
          <w:sz w:val="21"/>
          <w:szCs w:val="21"/>
        </w:rPr>
        <w:t xml:space="preserve">Environmental Justice is a binary criterion saved in EJScr. It enters the total score as a raw 0 to 1 value at goal weight 0.533, and is not min-max normalized or independently classified.</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EJScr / EJ</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1 where the crossing lies inside a disadvantaged community identified by the federal Climate and Economic Justice Screening Tool, otherwise a real 0. EJ is the display form, shown as disadvantaged where the flag is set.</w:t>
            </w:r>
          </w:p>
        </w:tc>
      </w:tr>
    </w:tbl>
    <w:p>
      <w:pPr>
        <w:pStyle w:val="Heading2"/>
        <w:spacing w:after="80" w:before="180"/>
      </w:pPr>
      <w:r>
        <w:t xml:space="preserve">Economic Impact</w:t>
      </w:r>
    </w:p>
    <w:p>
      <w:pPr>
        <w:spacing w:after="120" w:line="276"/>
      </w:pPr>
      <w:r>
        <w:rPr>
          <w:b w:val="false"/>
          <w:bCs w:val="false"/>
          <w:i w:val="false"/>
          <w:iCs w:val="false"/>
          <w:sz w:val="21"/>
          <w:szCs w:val="21"/>
        </w:rPr>
        <w:t xml:space="preserve">Economic Impact is an estimated replacement cost reported for planning. It is not part of the priority score.</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CstMult</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Cost multiplier by NHDOT road tier (field TIER). Tiers 1 and 2 use 2.0, Tier 3 uses 1.8, Tier 4 uses 1.2, Tier 5 uses 1.0, Tier 6 uses 1.1, Tier 0 uses 1.0.</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AvgBFW / ReqWidth</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Mean of the three channel bankfull widths, and the required replacement width computed as 1.2 times the average bankfull width plus 2.</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Cost</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Unrounded replacement cost estimate (dollars), computed as CPI times base cost per unit area times structure length times required width times the cost multiplier. A computed cost of 0 is treated as missing. CPI 1.2358, base cost 500 dollars per unit area.</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CostEstimate</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Planning-level replacement cost rounded to a whole reporting increment (default 10,000 dollars, rounded up), so the reported figure reads with trailing zeros, for example 150,000 or 1,270,000. Replaces the RoundCost column of the ARPA-phase workbook. The rounding base and direction are configurable in configs/params.json.</w:t>
            </w:r>
          </w:p>
        </w:tc>
      </w:tr>
    </w:tbl>
    <w:p>
      <w:pPr>
        <w:pStyle w:val="Heading2"/>
        <w:spacing w:after="80" w:before="180"/>
      </w:pPr>
      <w:r>
        <w:t xml:space="preserve">Total Score</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TotScr / TotRank / TotQual</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Dynamic total score, rank, and Jenks class. Retained in the All Results sheet only.</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TotScrMS</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Mean-substituted total crossing score. Built from the mean-substituted goal scores. This is the headline score of the Beta v2 workbook.</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TotMSRank</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Dense rank on TotScrMS, 1 the highest priority. Every goal sheet is sorted by this rank.</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TotQualMS</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Jenks class of TotScrMS, Very Low to Very High.</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ConfTot</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Overall data completeness across all goals, reported as present of total criteria.</w:t>
            </w:r>
          </w:p>
        </w:tc>
      </w:tr>
    </w:tbl>
    <w:p>
      <w:pPr>
        <w:pStyle w:val="Heading2"/>
        <w:spacing w:after="80" w:before="180"/>
      </w:pPr>
      <w:r>
        <w:t xml:space="preserve">Local review columns</w:t>
      </w:r>
    </w:p>
    <w:tbl>
      <w:tblPr>
        <w:tblW w:type="dxa" w:w="9360"/>
        <w:tblBorders>
          <w:top w:val="single" w:color="BFBFBF" w:sz="4"/>
          <w:left w:val="single" w:color="BFBFBF" w:sz="4"/>
          <w:bottom w:val="single" w:color="BFBFBF" w:sz="4"/>
          <w:right w:val="single" w:color="BFBFBF" w:sz="4"/>
          <w:insideH w:val="single" w:color="D8E0E0" w:sz="2"/>
          <w:insideV w:val="single" w:color="D8E0E0" w:sz="2"/>
        </w:tblBorders>
      </w:tblPr>
      <w:tblGrid>
        <w:gridCol w:w="3200"/>
        <w:gridCol w:w="6160"/>
      </w:tblGrid>
      <w:tr>
        <w:trPr>
          <w:tblHeader/>
        </w:trPr>
        <w:tc>
          <w:tcPr>
            <w:tcW w:type="dxa" w:w="3200"/>
            <w:shd w:fill="D8E0E0" w:color="auto" w:val="clear"/>
            <w:tcMar>
              <w:top w:type="dxa" w:w="40"/>
              <w:left w:type="dxa" w:w="90"/>
              <w:bottom w:type="dxa" w:w="40"/>
              <w:right w:type="dxa" w:w="90"/>
            </w:tcMar>
          </w:tcPr>
          <w:p>
            <w:pPr>
              <w:spacing w:after="0" w:line="264"/>
            </w:pPr>
            <w:r>
              <w:rPr>
                <w:b/>
                <w:bCs/>
                <w:i w:val="false"/>
                <w:iCs w:val="false"/>
                <w:sz w:val="19"/>
                <w:szCs w:val="19"/>
              </w:rPr>
              <w:t xml:space="preserve">Field</w:t>
            </w:r>
          </w:p>
        </w:tc>
        <w:tc>
          <w:tcPr>
            <w:tcW w:type="dxa" w:w="6160"/>
            <w:shd w:fill="D8E0E0" w:color="auto" w:val="clear"/>
            <w:tcMar>
              <w:top w:type="dxa" w:w="40"/>
              <w:left w:type="dxa" w:w="90"/>
              <w:bottom w:type="dxa" w:w="40"/>
              <w:right w:type="dxa" w:w="90"/>
            </w:tcMar>
          </w:tcPr>
          <w:p>
            <w:pPr>
              <w:spacing w:after="0" w:line="264"/>
            </w:pPr>
            <w:r>
              <w:rPr>
                <w:b/>
                <w:bCs/>
                <w:i w:val="false"/>
                <w:iCs w:val="false"/>
                <w:sz w:val="19"/>
                <w:szCs w:val="19"/>
              </w:rPr>
              <w:t xml:space="preserve">Description</w:t>
            </w:r>
          </w:p>
        </w:tc>
      </w:tr>
      <w:tr>
        <w:tc>
          <w:tcPr>
            <w:tcW w:type="dxa" w:w="3200"/>
            <w:tcMar>
              <w:top w:type="dxa" w:w="40"/>
              <w:left w:type="dxa" w:w="90"/>
              <w:bottom w:type="dxa" w:w="40"/>
              <w:right w:type="dxa" w:w="90"/>
            </w:tcMar>
          </w:tcPr>
          <w:p>
            <w:pPr>
              <w:spacing w:after="0" w:line="264"/>
            </w:pPr>
            <w:r>
              <w:rPr>
                <w:b/>
                <w:bCs/>
                <w:i w:val="false"/>
                <w:iCs w:val="false"/>
                <w:sz w:val="19"/>
                <w:szCs w:val="19"/>
              </w:rPr>
              <w:t xml:space="preserve">LocalPriority</w:t>
            </w:r>
          </w:p>
        </w:tc>
        <w:tc>
          <w:tcPr>
            <w:tcW w:type="dxa" w:w="6160"/>
            <w:tcMar>
              <w:top w:type="dxa" w:w="40"/>
              <w:left w:type="dxa" w:w="90"/>
              <w:bottom w:type="dxa" w:w="40"/>
              <w:right w:type="dxa" w:w="90"/>
            </w:tcMar>
          </w:tcPr>
          <w:p>
            <w:pPr>
              <w:spacing w:after="0" w:line="264"/>
            </w:pPr>
            <w:r>
              <w:rPr>
                <w:b w:val="false"/>
                <w:bCs w:val="false"/>
                <w:i w:val="false"/>
                <w:iCs w:val="false"/>
                <w:sz w:val="19"/>
                <w:szCs w:val="19"/>
              </w:rPr>
              <w:t xml:space="preserve">Blank column for local use. Enter 1 to flag a crossing as a local priority. Nothing entered here feeds back into the model.</w:t>
            </w:r>
          </w:p>
        </w:tc>
      </w:tr>
      <w:tr>
        <w:tc>
          <w:tcPr>
            <w:tcW w:type="dxa" w:w="3200"/>
            <w:shd w:fill="F4F6F5" w:color="auto" w:val="clear"/>
            <w:tcMar>
              <w:top w:type="dxa" w:w="40"/>
              <w:left w:type="dxa" w:w="90"/>
              <w:bottom w:type="dxa" w:w="40"/>
              <w:right w:type="dxa" w:w="90"/>
            </w:tcMar>
          </w:tcPr>
          <w:p>
            <w:pPr>
              <w:spacing w:after="0" w:line="264"/>
            </w:pPr>
            <w:r>
              <w:rPr>
                <w:b/>
                <w:bCs/>
                <w:i w:val="false"/>
                <w:iCs w:val="false"/>
                <w:sz w:val="19"/>
                <w:szCs w:val="19"/>
              </w:rPr>
              <w:t xml:space="preserve">LocalNotes</w:t>
            </w:r>
          </w:p>
        </w:tc>
        <w:tc>
          <w:tcPr>
            <w:tcW w:type="dxa" w:w="6160"/>
            <w:shd w:fill="F4F6F5" w:color="auto" w:val="clear"/>
            <w:tcMar>
              <w:top w:type="dxa" w:w="40"/>
              <w:left w:type="dxa" w:w="90"/>
              <w:bottom w:type="dxa" w:w="40"/>
              <w:right w:type="dxa" w:w="90"/>
            </w:tcMar>
          </w:tcPr>
          <w:p>
            <w:pPr>
              <w:spacing w:after="0" w:line="264"/>
            </w:pPr>
            <w:r>
              <w:rPr>
                <w:b w:val="false"/>
                <w:bCs w:val="false"/>
                <w:i w:val="false"/>
                <w:iCs w:val="false"/>
                <w:sz w:val="19"/>
                <w:szCs w:val="19"/>
              </w:rPr>
              <w:t xml:space="preserve">Blank column for local use. Enter a short reason for the flag, for example 2020 HazMit Plan or sole access to fire station.</w:t>
            </w:r>
          </w:p>
        </w:tc>
      </w:tr>
    </w:tbl>
    <w:p>
      <w:pPr>
        <w:pStyle w:val="Heading1"/>
        <w:spacing w:after="120" w:before="240"/>
      </w:pPr>
      <w:r>
        <w:t xml:space="preserve">Limitations</w:t>
      </w:r>
    </w:p>
    <w:p>
      <w:pPr>
        <w:spacing w:after="120" w:line="276"/>
      </w:pPr>
      <w:r>
        <w:rPr>
          <w:b w:val="false"/>
          <w:bCs w:val="false"/>
          <w:i w:val="false"/>
          <w:iCs w:val="false"/>
          <w:sz w:val="21"/>
          <w:szCs w:val="21"/>
        </w:rPr>
        <w:t xml:space="preserve">The scores are calculated from static data and according to the methodology and assumptions in the Data Decision Matrix. For instance, documented flooding history does not indicate whether a flooded crossing has since been replaced, and the cost estimate assumes replacement with a culvert bridge of standard width. The output is a planning-level list of crossings to prioritize for replacement; further investigation is needed to determine top-priority crossings. Future model updates cannot resolve issues in the input data, but they can make the results more meaningful by improving score calculations and the consideration of additional criteria.</w:t>
      </w:r>
    </w:p>
    <w:p>
      <w:pPr>
        <w:pStyle w:val="Heading1"/>
        <w:spacing w:after="120" w:before="240"/>
      </w:pPr>
      <w:r>
        <w:t xml:space="preserve">Usage</w:t>
      </w:r>
    </w:p>
    <w:p>
      <w:pPr>
        <w:spacing w:after="120" w:line="276"/>
      </w:pPr>
      <w:r>
        <w:rPr>
          <w:b w:val="false"/>
          <w:bCs w:val="false"/>
          <w:i w:val="false"/>
          <w:iCs w:val="false"/>
          <w:sz w:val="21"/>
          <w:szCs w:val="21"/>
        </w:rPr>
        <w:t xml:space="preserve">Input: a CSV containing the required fields, placed at data/input/crossings.csv.</w:t>
      </w:r>
    </w:p>
    <w:p>
      <w:pPr>
        <w:spacing w:after="120" w:line="276"/>
      </w:pPr>
      <w:r>
        <w:rPr>
          <w:b w:val="false"/>
          <w:bCs w:val="false"/>
          <w:i w:val="false"/>
          <w:iCs w:val="false"/>
          <w:sz w:val="21"/>
          <w:szCs w:val="21"/>
        </w:rPr>
        <w:t xml:space="preserve">Output: results CSVs in data/output/, and the formatted workbook report.xlsx. Header definitions are embedded as cell comments in the workbook and are held in configs/metadata.csv.</w:t>
      </w:r>
    </w:p>
    <w:p>
      <w:pPr>
        <w:spacing w:after="120" w:line="276"/>
      </w:pPr>
      <w:r>
        <w:rPr>
          <w:b w:val="false"/>
          <w:bCs w:val="false"/>
          <w:i w:val="false"/>
          <w:iCs w:val="false"/>
          <w:sz w:val="21"/>
          <w:szCs w:val="21"/>
        </w:rPr>
        <w:t xml:space="preserve">Execution: install the required Python libraries (pandas, numpy, jenkspy at 0.3.0 or later, and xlsxwriter), then run python src/model.py --input data/input/crossings.csv. Build the Beta v2 baseline once with python scripts/build_baseline.py, and build the workbook with python scripts/generate_excel_report.py.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0E2233"/>
      <w:sz w:val="28"/>
      <w:szCs w:val="28"/>
    </w:rPr>
  </w:style>
  <w:style w:type="paragraph" w:styleId="Heading2">
    <w:name w:val="Heading 2"/>
    <w:basedOn w:val="Normal"/>
    <w:next w:val="Normal"/>
    <w:qFormat/>
    <w:pPr>
      <w:spacing w:after="80" w:before="180"/>
    </w:pPr>
    <w:rPr>
      <w:b/>
      <w:bCs/>
      <w:color w:val="14606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2026-07-24T23:24:13.476Z</dcterms:created>
  <dcterms:modified xsi:type="dcterms:W3CDTF">2026-07-24T23:24:13.485Z</dcterms:modified>
</cp:coreProperties>
</file>

<file path=docProps/custom.xml><?xml version="1.0" encoding="utf-8"?>
<Properties xmlns="http://schemas.openxmlformats.org/officeDocument/2006/custom-properties" xmlns:vt="http://schemas.openxmlformats.org/officeDocument/2006/docPropsVTypes"/>
</file>