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2233"/>
          <w:sz w:val="34"/>
          <w:szCs w:val="34"/>
        </w:rPr>
        <w:t xml:space="preserve">Stream Crossing Replacement Prioritization</w:t>
      </w:r>
    </w:p>
    <w:p>
      <w:pPr>
        <w:spacing w:after="200"/>
      </w:pPr>
      <w:r>
        <w:rPr>
          <w:color w:val="14606C"/>
          <w:sz w:val="24"/>
          <w:szCs w:val="24"/>
        </w:rPr>
        <w:t xml:space="preserve">Guide and Metadata, UNH Beta Model v1.2</w:t>
      </w:r>
    </w:p>
    <w:p>
      <w:pPr>
        <w:pStyle w:val="Heading1"/>
        <w:spacing w:after="120" w:before="240"/>
      </w:pPr>
      <w:r>
        <w:t xml:space="preserve">General Information</w:t>
      </w:r>
    </w:p>
    <w:p>
      <w:pPr>
        <w:spacing w:after="120" w:line="276"/>
      </w:pPr>
      <w:r>
        <w:rPr>
          <w:b w:val="false"/>
          <w:bCs w:val="false"/>
          <w:i w:val="false"/>
          <w:iCs w:val="false"/>
          <w:sz w:val="21"/>
          <w:szCs w:val="21"/>
        </w:rPr>
        <w:t xml:space="preserve">Description: This dataset and associated Python model analyze attributes of stream crossings to evaluate flood vulnerability, environmental quality, structural risk, road criticality, wildlife connectivity, habitat quality, and environmental justice, and to estimate replacement cost for planning. The analysis provides scores, ranks, and qualitative classes for prioritization.</w:t>
      </w:r>
    </w:p>
    <w:p>
      <w:pPr>
        <w:spacing w:after="120" w:line="276"/>
      </w:pPr>
      <w:r>
        <w:rPr>
          <w:b w:val="false"/>
          <w:bCs w:val="false"/>
          <w:i w:val="false"/>
          <w:iCs w:val="false"/>
          <w:sz w:val="21"/>
          <w:szCs w:val="21"/>
        </w:rPr>
        <w:t xml:space="preserve">Purpose: To guide stream crossing management using stakeholder-informed, planning-level scores and ranks.</w:t>
      </w:r>
    </w:p>
    <w:p>
      <w:pPr>
        <w:pStyle w:val="Heading1"/>
        <w:spacing w:after="120" w:before="240"/>
      </w:pPr>
      <w:r>
        <w:t xml:space="preserve">Version history</w:t>
      </w:r>
    </w:p>
    <w:p>
      <w:pPr>
        <w:pStyle w:val="ListParagraph"/>
        <w:numPr>
          <w:ilvl w:val="0"/>
          <w:numId w:val="1"/>
        </w:numPr>
        <w:spacing w:after="60" w:line="276"/>
      </w:pPr>
      <w:r>
        <w:rPr>
          <w:sz w:val="21"/>
          <w:szCs w:val="21"/>
        </w:rPr>
        <w:t xml:space="preserve">UNH Beta Model v1.1: the version of the model finalized by UNH in May 2025.</w:t>
      </w:r>
    </w:p>
    <w:p>
      <w:pPr>
        <w:pStyle w:val="ListParagraph"/>
        <w:numPr>
          <w:ilvl w:val="0"/>
          <w:numId w:val="1"/>
        </w:numPr>
        <w:spacing w:after="60" w:line="276"/>
      </w:pPr>
      <w:r>
        <w:rPr>
          <w:sz w:val="21"/>
          <w:szCs w:val="21"/>
        </w:rPr>
        <w:t xml:space="preserve">UNH Beta Model v1.2 (this version): the July 2025 update per Consultant Team recommendations at the end of the ARPA phase, adding terrestrial wildlife data (wildlife corridor) and watershed water quality impairment data among other changes. All updates to the model are summarized in the Model Eval Memo; future version updates through publication of the Prioritization Tool are added to that memo as an appendix.</w:t>
      </w:r>
    </w:p>
    <w:p>
      <w:pPr>
        <w:pStyle w:val="ListParagraph"/>
        <w:numPr>
          <w:ilvl w:val="0"/>
          <w:numId w:val="1"/>
        </w:numPr>
        <w:spacing w:after="60" w:line="276"/>
      </w:pPr>
      <w:r>
        <w:rPr>
          <w:sz w:val="21"/>
          <w:szCs w:val="21"/>
        </w:rPr>
        <w:t xml:space="preserve">Pilot Model v1.1: not yet developed; the version to be published in the Prioritization Tool, anticipated January 2027.</w:t>
      </w:r>
    </w:p>
    <w:p>
      <w:pPr>
        <w:spacing w:after="120" w:line="276"/>
      </w:pPr>
      <w:r>
        <w:rPr>
          <w:b w:val="false"/>
          <w:bCs w:val="false"/>
          <w:i w:val="false"/>
          <w:iCs w:val="false"/>
          <w:sz w:val="21"/>
          <w:szCs w:val="21"/>
        </w:rPr>
        <w:t xml:space="preserve">Relationship between versions: v1.2 changes what is reported rather than how criteria are scored, with one exception, the Habitat Quality criterion formerly named habitat quality is renamed Habitat Condition Tier (score column HCTScr). v1.2 also adds two criteria to the scoring: wildlife corridor (terrestrial wildlife) and watershed water quality impairment.</w:t>
      </w:r>
    </w:p>
    <w:p>
      <w:pPr>
        <w:pStyle w:val="Heading1"/>
        <w:spacing w:after="120" w:before="240"/>
      </w:pPr>
      <w:r>
        <w:t xml:space="preserve">Creators</w:t>
      </w:r>
    </w:p>
    <w:p>
      <w:pPr>
        <w:spacing w:after="120" w:line="276"/>
      </w:pPr>
      <w:r>
        <w:rPr>
          <w:b w:val="false"/>
          <w:bCs w:val="false"/>
          <w:i w:val="false"/>
          <w:iCs w:val="false"/>
          <w:sz w:val="21"/>
          <w:szCs w:val="21"/>
        </w:rPr>
        <w:t xml:space="preserve">Koorosh (Kai) Asadifakhr (1), Polly Crocker (2), Kevin Lucey (2), Erin Bell (1), Weiwei Mo (1)</w:t>
      </w:r>
    </w:p>
    <w:p>
      <w:pPr>
        <w:spacing w:after="40" w:line="276"/>
      </w:pPr>
      <w:r>
        <w:rPr>
          <w:b w:val="false"/>
          <w:bCs w:val="false"/>
          <w:i w:val="false"/>
          <w:iCs w:val="false"/>
          <w:sz w:val="21"/>
          <w:szCs w:val="21"/>
        </w:rPr>
        <w:t xml:space="preserve">(1) University of New Hampshire. (2) New Hampshire Department of Environmental Services.</w:t>
      </w:r>
    </w:p>
    <w:p>
      <w:pPr>
        <w:spacing w:after="120" w:line="276"/>
      </w:pPr>
      <w:r>
        <w:rPr>
          <w:b w:val="false"/>
          <w:bCs w:val="false"/>
          <w:i w:val="false"/>
          <w:iCs w:val="false"/>
          <w:sz w:val="21"/>
          <w:szCs w:val="21"/>
        </w:rPr>
        <w:t xml:space="preserve">Contact: Koorosh.Asadifakhr@unh.edu</w:t>
      </w:r>
    </w:p>
    <w:p>
      <w:pPr>
        <w:pStyle w:val="Heading1"/>
        <w:spacing w:after="120" w:before="240"/>
      </w:pPr>
      <w:r>
        <w:t xml:space="preserve">Date and Version</w:t>
      </w:r>
    </w:p>
    <w:p>
      <w:pPr>
        <w:spacing w:after="40" w:line="276"/>
      </w:pPr>
      <w:r>
        <w:rPr>
          <w:b w:val="false"/>
          <w:bCs w:val="false"/>
          <w:i w:val="false"/>
          <w:iCs w:val="false"/>
          <w:sz w:val="21"/>
          <w:szCs w:val="21"/>
        </w:rPr>
        <w:t xml:space="preserve">Creation Date: 2024-12-31</w:t>
      </w:r>
    </w:p>
    <w:p>
      <w:pPr>
        <w:spacing w:after="40" w:line="276"/>
      </w:pPr>
      <w:r>
        <w:rPr>
          <w:b w:val="false"/>
          <w:bCs w:val="false"/>
          <w:i w:val="false"/>
          <w:iCs w:val="false"/>
          <w:sz w:val="21"/>
          <w:szCs w:val="21"/>
        </w:rPr>
        <w:t xml:space="preserve">Last Updated: 2026-07-25</w:t>
      </w:r>
    </w:p>
    <w:p>
      <w:pPr>
        <w:spacing w:after="120" w:line="276"/>
      </w:pPr>
      <w:r>
        <w:rPr>
          <w:b w:val="false"/>
          <w:bCs w:val="false"/>
          <w:i w:val="false"/>
          <w:iCs w:val="false"/>
          <w:sz w:val="21"/>
          <w:szCs w:val="21"/>
        </w:rPr>
        <w:t xml:space="preserve">Version: UNH Beta Model v1.2 (July 2025 update of UNH Beta Model v1.1)</w:t>
      </w:r>
    </w:p>
    <w:p>
      <w:pPr>
        <w:pStyle w:val="Heading1"/>
        <w:spacing w:after="120" w:before="240"/>
      </w:pPr>
      <w:r>
        <w:t xml:space="preserve">Source and Methodology</w:t>
      </w:r>
    </w:p>
    <w:p>
      <w:pPr>
        <w:spacing w:after="120" w:line="276"/>
      </w:pPr>
      <w:r>
        <w:rPr>
          <w:b w:val="false"/>
          <w:bCs w:val="false"/>
          <w:i w:val="false"/>
          <w:iCs w:val="false"/>
          <w:sz w:val="21"/>
          <w:szCs w:val="21"/>
        </w:rPr>
        <w:t xml:space="preserve">Data Sources: Data sources are outlined in the Data Decision Matrix and the Data Action Plan.</w:t>
      </w:r>
    </w:p>
    <w:p>
      <w:pPr>
        <w:spacing w:after="120" w:line="276"/>
      </w:pPr>
      <w:r>
        <w:rPr>
          <w:b w:val="false"/>
          <w:bCs w:val="false"/>
          <w:i w:val="false"/>
          <w:iCs w:val="false"/>
          <w:sz w:val="21"/>
          <w:szCs w:val="21"/>
        </w:rPr>
        <w:t xml:space="preserve">Methodology: Criterion scores are computed using a methodology adapted from the literature and refined by a technical advisory committee, as documented in the Data Decision Matrix. Criterion scores are weighted using values derived from a stakeholder survey. Goal scores are computed dynamically as the weighted average of the available criterion scores, so missing criteria are dropped from both the numerator and the denominator and the remaining weights are renormalized. Goal scores are normalized using min-max normalization and combined with the same dynamic weighted-average approach using the goal weights to produce the total score. Environmental Justice is the one exception: it enters the total using its raw 0 to 1 value (EJScr), not a normalized value.</w:t>
      </w:r>
    </w:p>
    <w:p>
      <w:pPr>
        <w:pStyle w:val="Heading1"/>
        <w:spacing w:after="120" w:before="240"/>
      </w:pPr>
      <w:r>
        <w:t xml:space="preserve">Scoring conventions</w:t>
      </w:r>
    </w:p>
    <w:p>
      <w:pPr>
        <w:spacing w:after="120" w:line="276"/>
      </w:pPr>
      <w:r>
        <w:rPr>
          <w:b w:val="false"/>
          <w:bCs w:val="false"/>
          <w:i w:val="false"/>
          <w:iCs w:val="false"/>
          <w:sz w:val="21"/>
          <w:szCs w:val="21"/>
        </w:rPr>
        <w:t xml:space="preserve">Each criterion is placed on a 0 to 1 scale, where 1 denotes the highest replacement priority and 0 the lowest.</w:t>
      </w:r>
    </w:p>
    <w:p>
      <w:pPr>
        <w:pStyle w:val="ListParagraph"/>
        <w:numPr>
          <w:ilvl w:val="0"/>
          <w:numId w:val="1"/>
        </w:numPr>
        <w:spacing w:after="60" w:line="276"/>
      </w:pPr>
      <w:r>
        <w:rPr>
          <w:sz w:val="21"/>
          <w:szCs w:val="21"/>
        </w:rPr>
        <w:t xml:space="preserve">Confirmed zero versus missing data. Where a statewide data source affirmatively confirms an absence, that absence is encoded as a real 0 so the crossing keeps an informative data point. Where a value was never collected, it is encoded as missing and is dropped from the goal calculation. Two criteria, flooding history (BlkFScr) and special species (SpSpScr), deliberately treat an absence of documentation as missing rather than as a confirmed zero.</w:t>
      </w:r>
    </w:p>
    <w:p>
      <w:pPr>
        <w:pStyle w:val="ListParagraph"/>
        <w:numPr>
          <w:ilvl w:val="0"/>
          <w:numId w:val="1"/>
        </w:numPr>
        <w:spacing w:after="60" w:line="276"/>
      </w:pPr>
      <w:r>
        <w:rPr>
          <w:sz w:val="21"/>
          <w:szCs w:val="21"/>
        </w:rPr>
        <w:t xml:space="preserve">Confidence. Each goal and the total report the count of non-missing criteria as a string of the form present of total, for example 16 of 19. Read a rank together with its confidence.</w:t>
      </w:r>
    </w:p>
    <w:p>
      <w:pPr>
        <w:pStyle w:val="ListParagraph"/>
        <w:numPr>
          <w:ilvl w:val="0"/>
          <w:numId w:val="1"/>
        </w:numPr>
        <w:spacing w:after="60" w:line="276"/>
      </w:pPr>
      <w:r>
        <w:rPr>
          <w:sz w:val="21"/>
          <w:szCs w:val="21"/>
        </w:rPr>
        <w:t xml:space="preserve">Classification. Qualitative classes from Very Low to Very High are assigned with Jenks natural breaks. Normalization and classes are computed within the set of crossings included in a run, so a filtered extent is classified against its own distribution.</w:t>
      </w:r>
    </w:p>
    <w:p>
      <w:pPr>
        <w:pStyle w:val="Heading1"/>
        <w:spacing w:after="120" w:before="240"/>
      </w:pPr>
      <w:r>
        <w:t xml:space="preserve">Mean-substituted results and reporting</w:t>
      </w:r>
    </w:p>
    <w:p>
      <w:pPr>
        <w:spacing w:after="120" w:line="276"/>
      </w:pPr>
      <w:r>
        <w:rPr>
          <w:b w:val="false"/>
          <w:bCs w:val="false"/>
          <w:i w:val="false"/>
          <w:iCs w:val="false"/>
          <w:sz w:val="21"/>
          <w:szCs w:val="21"/>
        </w:rPr>
        <w:t xml:space="preserve">A parallel mean-substituted family of outputs is produced, identified by the MS suffix (for example EQScrMS, FVMSRank, TotScrMS, and TotQualMS). Missing goal scores are filled with the mean of the non-missing goal scores before ranking, normalization, and classification, so a crossing missing a goal score is neither advantaged nor penalized relative to crossings with complete data.</w:t>
      </w:r>
    </w:p>
    <w:p>
      <w:pPr>
        <w:spacing w:after="120" w:line="276"/>
      </w:pPr>
      <w:r>
        <w:rPr>
          <w:b w:val="false"/>
          <w:bCs w:val="false"/>
          <w:i w:val="false"/>
          <w:iCs w:val="false"/>
          <w:sz w:val="21"/>
          <w:szCs w:val="21"/>
        </w:rPr>
        <w:t xml:space="preserve">The Excel report and the web interface report the mean-substituted family only. For each goal the report shows the MS rank and the MS class (for example FVMSRank and FVQualMS), and for the total it shows TotScrMS, TotMSRank, and TotQualMS. The dynamic (non-substituted) Rank and Qual columns are still computed by the model and are retained in results_all.csv and in the All Results sheet of the workbook, but they are not shown on the goal sheets or on Final Results.</w:t>
      </w:r>
    </w:p>
    <w:p>
      <w:pPr>
        <w:spacing w:after="120" w:line="276"/>
      </w:pPr>
      <w:r>
        <w:rPr>
          <w:b w:val="false"/>
          <w:bCs w:val="false"/>
          <w:i w:val="false"/>
          <w:iCs w:val="false"/>
          <w:sz w:val="21"/>
          <w:szCs w:val="21"/>
        </w:rPr>
        <w:t xml:space="preserve">Default-baseline comparison. The report can include a fixed default baseline computed with the default survey-derived weightings over the full statewide extent (the default UNH Beta Model v1.2 run). When a run departs from the default weightings or the full extent, each sheet gains Base_ prefixed columns holding the baseline rank, class, and total score for the same crossings, matched on SADES_ID, and a Default Baseline sheet holds the full baseline record for those crossings. Baseline ranks are relative to all crossings statewide, whereas run ranks are relative to the crossings selected, so the two ranks are not on the same denominator.</w:t>
      </w:r>
    </w:p>
    <w:p>
      <w:pPr>
        <w:pStyle w:val="Heading1"/>
        <w:spacing w:after="120" w:before="240"/>
      </w:pPr>
      <w:r>
        <w:t xml:space="preserve">Content Description</w:t>
      </w:r>
    </w:p>
    <w:p>
      <w:pPr>
        <w:pStyle w:val="Heading2"/>
        <w:spacing w:after="80" w:before="180"/>
      </w:pPr>
      <w:r>
        <w:t xml:space="preserve">Identification</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sz w:val="19"/>
                <w:szCs w:val="19"/>
              </w:rPr>
              <w:t xml:space="preserve">Description</w:t>
            </w:r>
          </w:p>
        </w:tc>
      </w:tr>
      <w:tr>
        <w:tc>
          <w:tcPr>
            <w:tcW w:type="dxa" w:w="3200"/>
            <w:tcMar>
              <w:top w:type="dxa" w:w="40"/>
              <w:left w:type="dxa" w:w="90"/>
              <w:bottom w:type="dxa" w:w="40"/>
              <w:right w:type="dxa" w:w="90"/>
            </w:tcMar>
          </w:tcPr>
          <w:p>
            <w:pPr>
              <w:spacing w:after="0" w:line="264"/>
            </w:pPr>
            <w:r>
              <w:rPr>
                <w:b/>
                <w:bCs/>
                <w:sz w:val="19"/>
                <w:szCs w:val="19"/>
              </w:rPr>
              <w:t xml:space="preserve">SADES_ID</w:t>
            </w:r>
          </w:p>
        </w:tc>
        <w:tc>
          <w:tcPr>
            <w:tcW w:type="dxa" w:w="6160"/>
            <w:tcMar>
              <w:top w:type="dxa" w:w="40"/>
              <w:left w:type="dxa" w:w="90"/>
              <w:bottom w:type="dxa" w:w="40"/>
              <w:right w:type="dxa" w:w="90"/>
            </w:tcMar>
          </w:tcPr>
          <w:p>
            <w:pPr>
              <w:spacing w:after="0" w:line="264"/>
            </w:pPr>
            <w:r>
              <w:rPr>
                <w:b w:val="false"/>
                <w:bCs w:val="false"/>
                <w:sz w:val="19"/>
                <w:szCs w:val="19"/>
              </w:rPr>
              <w:t xml:space="preserve">Unique crossing identifier from the Statewide Asset Data Exchange System. Join key across every sheet and against the default baseline.</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Location</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Plain-language label built as stream at road, town from StreamName, RoadNameF (or STREET), and Town. A leading NHDES assessment-unit identifier is stripped from the stream name, and an unnamed stream is labeled Unnamed stream.</w:t>
            </w:r>
          </w:p>
        </w:tc>
      </w:tr>
      <w:tr>
        <w:tc>
          <w:tcPr>
            <w:tcW w:type="dxa" w:w="3200"/>
            <w:tcMar>
              <w:top w:type="dxa" w:w="40"/>
              <w:left w:type="dxa" w:w="90"/>
              <w:bottom w:type="dxa" w:w="40"/>
              <w:right w:type="dxa" w:w="90"/>
            </w:tcMar>
          </w:tcPr>
          <w:p>
            <w:pPr>
              <w:spacing w:after="0" w:line="264"/>
            </w:pPr>
            <w:r>
              <w:rPr>
                <w:b/>
                <w:bCs/>
                <w:sz w:val="19"/>
                <w:szCs w:val="19"/>
              </w:rPr>
              <w:t xml:space="preserve">Landowner</w:t>
            </w:r>
          </w:p>
        </w:tc>
        <w:tc>
          <w:tcPr>
            <w:tcW w:type="dxa" w:w="6160"/>
            <w:tcMar>
              <w:top w:type="dxa" w:w="40"/>
              <w:left w:type="dxa" w:w="90"/>
              <w:bottom w:type="dxa" w:w="40"/>
              <w:right w:type="dxa" w:w="90"/>
            </w:tcMar>
          </w:tcPr>
          <w:p>
            <w:pPr>
              <w:spacing w:after="0" w:line="264"/>
            </w:pPr>
            <w:r>
              <w:rPr>
                <w:b w:val="false"/>
                <w:bCs w:val="false"/>
                <w:sz w:val="19"/>
                <w:szCs w:val="19"/>
              </w:rPr>
              <w:t xml:space="preserve">Road owner or maintaining authority, copied from the OWNERSHIP_ field of the NHDOT road inventory, for example TOWN, PRIVATE, or DISTRICT 6.</w:t>
            </w:r>
          </w:p>
        </w:tc>
      </w:tr>
    </w:tbl>
    <w:p>
      <w:pPr>
        <w:pStyle w:val="Heading2"/>
        <w:spacing w:after="80" w:before="180"/>
      </w:pPr>
      <w:r>
        <w:t xml:space="preserve">Flood Vulnerability</w:t>
      </w:r>
    </w:p>
    <w:p>
      <w:pPr>
        <w:spacing w:after="120" w:line="276"/>
      </w:pPr>
      <w:r>
        <w:rPr>
          <w:b w:val="false"/>
          <w:bCs w:val="false"/>
          <w:i w:val="false"/>
          <w:iCs w:val="false"/>
          <w:sz w:val="21"/>
          <w:szCs w:val="21"/>
        </w:rPr>
        <w:t xml:space="preserve">Flood vulnerability is the dynamic weighted average of hydraulic capacity (HCScr) and documented flooding history (BlkFScr). Criterion weights: hydraulic capacity 0.865, flooding history 0.805.</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sz w:val="19"/>
                <w:szCs w:val="19"/>
              </w:rPr>
              <w:t xml:space="preserve">Description</w:t>
            </w:r>
          </w:p>
        </w:tc>
      </w:tr>
      <w:tr>
        <w:tc>
          <w:tcPr>
            <w:tcW w:type="dxa" w:w="3200"/>
            <w:tcMar>
              <w:top w:type="dxa" w:w="40"/>
              <w:left w:type="dxa" w:w="90"/>
              <w:bottom w:type="dxa" w:w="40"/>
              <w:right w:type="dxa" w:w="90"/>
            </w:tcMar>
          </w:tcPr>
          <w:p>
            <w:pPr>
              <w:spacing w:after="0" w:line="264"/>
            </w:pPr>
            <w:r>
              <w:rPr>
                <w:b/>
                <w:bCs/>
                <w:sz w:val="19"/>
                <w:szCs w:val="19"/>
              </w:rPr>
              <w:t xml:space="preserve">HC_2yr ... HC_100yr</w:t>
            </w:r>
          </w:p>
        </w:tc>
        <w:tc>
          <w:tcPr>
            <w:tcW w:type="dxa" w:w="6160"/>
            <w:tcMar>
              <w:top w:type="dxa" w:w="40"/>
              <w:left w:type="dxa" w:w="90"/>
              <w:bottom w:type="dxa" w:w="40"/>
              <w:right w:type="dxa" w:w="90"/>
            </w:tcMar>
          </w:tcPr>
          <w:p>
            <w:pPr>
              <w:spacing w:after="0" w:line="264"/>
            </w:pPr>
            <w:r>
              <w:rPr>
                <w:b w:val="false"/>
                <w:bCs w:val="false"/>
                <w:sz w:val="19"/>
                <w:szCs w:val="19"/>
              </w:rPr>
              <w:t xml:space="preserve">Hydraulic capacity status at the 2, 10, 25, 50, and 100 year return periods: Overtop, Vulnerable, or Pass.</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HCScr</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Hydraulic capacity score. Maximum sub-score across the available return periods, so the worst failure mode governs. Pass scores 0. NaN only where no hydraulic capacity data exist, for example wetland crossings.</w:t>
            </w:r>
          </w:p>
        </w:tc>
      </w:tr>
      <w:tr>
        <w:tc>
          <w:tcPr>
            <w:tcW w:type="dxa" w:w="3200"/>
            <w:tcMar>
              <w:top w:type="dxa" w:w="40"/>
              <w:left w:type="dxa" w:w="90"/>
              <w:bottom w:type="dxa" w:w="40"/>
              <w:right w:type="dxa" w:w="90"/>
            </w:tcMar>
          </w:tcPr>
          <w:p>
            <w:pPr>
              <w:spacing w:after="0" w:line="264"/>
            </w:pPr>
            <w:r>
              <w:rPr>
                <w:b/>
                <w:bCs/>
                <w:sz w:val="19"/>
                <w:szCs w:val="19"/>
              </w:rPr>
              <w:t xml:space="preserve">BlckFlg / BlkFScr</w:t>
            </w:r>
          </w:p>
        </w:tc>
        <w:tc>
          <w:tcPr>
            <w:tcW w:type="dxa" w:w="6160"/>
            <w:tcMar>
              <w:top w:type="dxa" w:w="40"/>
              <w:left w:type="dxa" w:w="90"/>
              <w:bottom w:type="dxa" w:w="40"/>
              <w:right w:type="dxa" w:w="90"/>
            </w:tcMar>
          </w:tcPr>
          <w:p>
            <w:pPr>
              <w:spacing w:after="0" w:line="264"/>
            </w:pPr>
            <w:r>
              <w:rPr>
                <w:b w:val="false"/>
                <w:bCs w:val="false"/>
                <w:sz w:val="19"/>
                <w:szCs w:val="19"/>
              </w:rPr>
              <w:t xml:space="preserve">Documented flooding history flag and score. 1 where flooding is documented, NaN where no record exists. Points are centroids of flooded-area polygons from NH Town Hazard Mitigation Plans snapped to the nearest crossing within 500 ft.</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FVScr</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Flood Vulnerability goal score.</w:t>
            </w:r>
          </w:p>
        </w:tc>
      </w:tr>
      <w:tr>
        <w:tc>
          <w:tcPr>
            <w:tcW w:type="dxa" w:w="3200"/>
            <w:tcMar>
              <w:top w:type="dxa" w:w="40"/>
              <w:left w:type="dxa" w:w="90"/>
              <w:bottom w:type="dxa" w:w="40"/>
              <w:right w:type="dxa" w:w="90"/>
            </w:tcMar>
          </w:tcPr>
          <w:p>
            <w:pPr>
              <w:spacing w:after="0" w:line="264"/>
            </w:pPr>
            <w:r>
              <w:rPr>
                <w:b/>
                <w:bCs/>
                <w:sz w:val="19"/>
                <w:szCs w:val="19"/>
              </w:rPr>
              <w:t xml:space="preserve">FVMSRank / FVQualMS</w:t>
            </w:r>
          </w:p>
        </w:tc>
        <w:tc>
          <w:tcPr>
            <w:tcW w:type="dxa" w:w="6160"/>
            <w:tcMar>
              <w:top w:type="dxa" w:w="40"/>
              <w:left w:type="dxa" w:w="90"/>
              <w:bottom w:type="dxa" w:w="40"/>
              <w:right w:type="dxa" w:w="90"/>
            </w:tcMar>
          </w:tcPr>
          <w:p>
            <w:pPr>
              <w:spacing w:after="0" w:line="264"/>
            </w:pPr>
            <w:r>
              <w:rPr>
                <w:b w:val="false"/>
                <w:bCs w:val="false"/>
                <w:sz w:val="19"/>
                <w:szCs w:val="19"/>
              </w:rPr>
              <w:t xml:space="preserve">Mean-substituted rank and Jenks class reported on the Flood Vulnerability sheet.</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ConfFV</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Data completeness for Flood Vulnerability, reported as present of total criteria.</w:t>
            </w:r>
          </w:p>
        </w:tc>
      </w:tr>
    </w:tbl>
    <w:p>
      <w:pPr>
        <w:pStyle w:val="Heading2"/>
        <w:spacing w:after="80" w:before="180"/>
      </w:pPr>
      <w:r>
        <w:t xml:space="preserve">Environmental Quality</w:t>
      </w:r>
    </w:p>
    <w:p>
      <w:pPr>
        <w:spacing w:after="120" w:line="276"/>
      </w:pPr>
      <w:r>
        <w:rPr>
          <w:b w:val="false"/>
          <w:bCs w:val="false"/>
          <w:i w:val="false"/>
          <w:iCs w:val="false"/>
          <w:sz w:val="21"/>
          <w:szCs w:val="21"/>
        </w:rPr>
        <w:t xml:space="preserve">Environmental quality is the dynamic weighted average of erosion, geomorphic compatibility, and two water quality criteria that are admitted only when the erosion score is present and positive. Criterion weights: erosion 0.800, geomorphic compatibility 0.769, water quality 0.663.</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sz w:val="19"/>
                <w:szCs w:val="19"/>
              </w:rPr>
              <w:t xml:space="preserve">Description</w:t>
            </w:r>
          </w:p>
        </w:tc>
      </w:tr>
      <w:tr>
        <w:tc>
          <w:tcPr>
            <w:tcW w:type="dxa" w:w="3200"/>
            <w:tcMar>
              <w:top w:type="dxa" w:w="40"/>
              <w:left w:type="dxa" w:w="90"/>
              <w:bottom w:type="dxa" w:w="40"/>
              <w:right w:type="dxa" w:w="90"/>
            </w:tcMar>
          </w:tcPr>
          <w:p>
            <w:pPr>
              <w:spacing w:after="0" w:line="264"/>
            </w:pPr>
            <w:r>
              <w:rPr>
                <w:b/>
                <w:bCs/>
                <w:sz w:val="19"/>
                <w:szCs w:val="19"/>
              </w:rPr>
              <w:t xml:space="preserve">ErosScr / Erosion</w:t>
            </w:r>
          </w:p>
        </w:tc>
        <w:tc>
          <w:tcPr>
            <w:tcW w:type="dxa" w:w="6160"/>
            <w:tcMar>
              <w:top w:type="dxa" w:w="40"/>
              <w:left w:type="dxa" w:w="90"/>
              <w:bottom w:type="dxa" w:w="40"/>
              <w:right w:type="dxa" w:w="90"/>
            </w:tcMar>
          </w:tcPr>
          <w:p>
            <w:pPr>
              <w:spacing w:after="0" w:line="264"/>
            </w:pPr>
            <w:r>
              <w:rPr>
                <w:b w:val="false"/>
                <w:bCs w:val="false"/>
                <w:sz w:val="19"/>
                <w:szCs w:val="19"/>
              </w:rPr>
              <w:t xml:space="preserve">Erosion score and its Jenks class. Arithmetic mean of up to nine components; components without data are skipped.</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GC_Score / GCScr</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Geomorphic compatibility category and score. Fully Compatible 0, Mostly Compatible 0.25, Partially Compatible 0.50, Mostly Incompatible 0.75, Fully Incompatible 1. NaN only where no data exist.</w:t>
            </w:r>
          </w:p>
        </w:tc>
      </w:tr>
      <w:tr>
        <w:tc>
          <w:tcPr>
            <w:tcW w:type="dxa" w:w="3200"/>
            <w:tcMar>
              <w:top w:type="dxa" w:w="40"/>
              <w:left w:type="dxa" w:w="90"/>
              <w:bottom w:type="dxa" w:w="40"/>
              <w:right w:type="dxa" w:w="90"/>
            </w:tcMar>
          </w:tcPr>
          <w:p>
            <w:pPr>
              <w:spacing w:after="0" w:line="264"/>
            </w:pPr>
            <w:r>
              <w:rPr>
                <w:b/>
                <w:bCs/>
                <w:sz w:val="19"/>
                <w:szCs w:val="19"/>
              </w:rPr>
              <w:t xml:space="preserve">Impair / WQIScr</w:t>
            </w:r>
          </w:p>
        </w:tc>
        <w:tc>
          <w:tcPr>
            <w:tcW w:type="dxa" w:w="6160"/>
            <w:tcMar>
              <w:top w:type="dxa" w:w="40"/>
              <w:left w:type="dxa" w:w="90"/>
              <w:bottom w:type="dxa" w:w="40"/>
              <w:right w:type="dxa" w:w="90"/>
            </w:tcMar>
          </w:tcPr>
          <w:p>
            <w:pPr>
              <w:spacing w:after="0" w:line="264"/>
            </w:pPr>
            <w:r>
              <w:rPr>
                <w:b w:val="false"/>
                <w:bCs w:val="false"/>
                <w:sz w:val="19"/>
                <w:szCs w:val="19"/>
              </w:rPr>
              <w:t xml:space="preserve">Reach-scale water quality impairment flag and score. Impaired 1, not impaired a real 0. Built from the NHDES Surface Water Quality Assessment, integrated reporting categories 4 and 5.</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WWQI / WWQIScr</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Watershed water quality impairment flag and score. Inside a HUC12-clipped impaired lake or impoundment watershed 1, otherwise a real 0. Added in UNH Beta Model v1.2.</w:t>
            </w:r>
          </w:p>
        </w:tc>
      </w:tr>
      <w:tr>
        <w:tc>
          <w:tcPr>
            <w:tcW w:type="dxa" w:w="3200"/>
            <w:tcMar>
              <w:top w:type="dxa" w:w="40"/>
              <w:left w:type="dxa" w:w="90"/>
              <w:bottom w:type="dxa" w:w="40"/>
              <w:right w:type="dxa" w:w="90"/>
            </w:tcMar>
          </w:tcPr>
          <w:p>
            <w:pPr>
              <w:spacing w:after="0" w:line="264"/>
            </w:pPr>
            <w:r>
              <w:rPr>
                <w:b/>
                <w:bCs/>
                <w:sz w:val="19"/>
                <w:szCs w:val="19"/>
              </w:rPr>
              <w:t xml:space="preserve">EQScr</w:t>
            </w:r>
          </w:p>
        </w:tc>
        <w:tc>
          <w:tcPr>
            <w:tcW w:type="dxa" w:w="6160"/>
            <w:tcMar>
              <w:top w:type="dxa" w:w="40"/>
              <w:left w:type="dxa" w:w="90"/>
              <w:bottom w:type="dxa" w:w="40"/>
              <w:right w:type="dxa" w:w="90"/>
            </w:tcMar>
          </w:tcPr>
          <w:p>
            <w:pPr>
              <w:spacing w:after="0" w:line="264"/>
            </w:pPr>
            <w:r>
              <w:rPr>
                <w:b w:val="false"/>
                <w:bCs w:val="false"/>
                <w:sz w:val="19"/>
                <w:szCs w:val="19"/>
              </w:rPr>
              <w:t xml:space="preserve">Environmental Quality goal score.</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EQMSRank / EQQualMS</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Mean-substituted rank and Jenks class reported on the Environmental Quality sheet.</w:t>
            </w:r>
          </w:p>
        </w:tc>
      </w:tr>
      <w:tr>
        <w:tc>
          <w:tcPr>
            <w:tcW w:type="dxa" w:w="3200"/>
            <w:tcMar>
              <w:top w:type="dxa" w:w="40"/>
              <w:left w:type="dxa" w:w="90"/>
              <w:bottom w:type="dxa" w:w="40"/>
              <w:right w:type="dxa" w:w="90"/>
            </w:tcMar>
          </w:tcPr>
          <w:p>
            <w:pPr>
              <w:spacing w:after="0" w:line="264"/>
            </w:pPr>
            <w:r>
              <w:rPr>
                <w:b/>
                <w:bCs/>
                <w:sz w:val="19"/>
                <w:szCs w:val="19"/>
              </w:rPr>
              <w:t xml:space="preserve">ConfEQ</w:t>
            </w:r>
          </w:p>
        </w:tc>
        <w:tc>
          <w:tcPr>
            <w:tcW w:type="dxa" w:w="6160"/>
            <w:tcMar>
              <w:top w:type="dxa" w:w="40"/>
              <w:left w:type="dxa" w:w="90"/>
              <w:bottom w:type="dxa" w:w="40"/>
              <w:right w:type="dxa" w:w="90"/>
            </w:tcMar>
          </w:tcPr>
          <w:p>
            <w:pPr>
              <w:spacing w:after="0" w:line="264"/>
            </w:pPr>
            <w:r>
              <w:rPr>
                <w:b w:val="false"/>
                <w:bCs w:val="false"/>
                <w:sz w:val="19"/>
                <w:szCs w:val="19"/>
              </w:rPr>
              <w:t xml:space="preserve">Data completeness for Environmental Quality.</w:t>
            </w:r>
          </w:p>
        </w:tc>
      </w:tr>
    </w:tbl>
    <w:p>
      <w:pPr>
        <w:pStyle w:val="Heading2"/>
        <w:spacing w:after="80" w:before="180"/>
      </w:pPr>
      <w:r>
        <w:t xml:space="preserve">Structural Risk</w:t>
      </w:r>
    </w:p>
    <w:p>
      <w:pPr>
        <w:spacing w:after="120" w:line="276"/>
      </w:pPr>
      <w:r>
        <w:rPr>
          <w:b w:val="false"/>
          <w:bCs w:val="false"/>
          <w:i w:val="false"/>
          <w:iCs w:val="false"/>
          <w:sz w:val="21"/>
          <w:szCs w:val="21"/>
        </w:rPr>
        <w:t xml:space="preserve">Structural risk is the dynamic weighted average of condition, size, and material. Criterion weights: condition 0.831, size 0.770, material 0.559. Depth of cover was removed during scoring finalization (v1.1). When the condition score is present and greater than 0, condition, size, and material all enter; when the condition score is 0 (Good) or missing, size is dropped.</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sz w:val="19"/>
                <w:szCs w:val="19"/>
              </w:rPr>
              <w:t xml:space="preserve">Description</w:t>
            </w:r>
          </w:p>
        </w:tc>
      </w:tr>
      <w:tr>
        <w:tc>
          <w:tcPr>
            <w:tcW w:type="dxa" w:w="3200"/>
            <w:tcMar>
              <w:top w:type="dxa" w:w="40"/>
              <w:left w:type="dxa" w:w="90"/>
              <w:bottom w:type="dxa" w:w="40"/>
              <w:right w:type="dxa" w:w="90"/>
            </w:tcMar>
          </w:tcPr>
          <w:p>
            <w:pPr>
              <w:spacing w:after="0" w:line="264"/>
            </w:pPr>
            <w:r>
              <w:rPr>
                <w:b/>
                <w:bCs/>
                <w:sz w:val="19"/>
                <w:szCs w:val="19"/>
              </w:rPr>
              <w:t xml:space="preserve">StructCond, UsHwCon, DsHwCon</w:t>
            </w:r>
          </w:p>
        </w:tc>
        <w:tc>
          <w:tcPr>
            <w:tcW w:type="dxa" w:w="6160"/>
            <w:tcMar>
              <w:top w:type="dxa" w:w="40"/>
              <w:left w:type="dxa" w:w="90"/>
              <w:bottom w:type="dxa" w:w="40"/>
              <w:right w:type="dxa" w:w="90"/>
            </w:tcMar>
          </w:tcPr>
          <w:p>
            <w:pPr>
              <w:spacing w:after="0" w:line="264"/>
            </w:pPr>
            <w:r>
              <w:rPr>
                <w:b w:val="false"/>
                <w:bCs w:val="false"/>
                <w:sz w:val="19"/>
                <w:szCs w:val="19"/>
              </w:rPr>
              <w:t xml:space="preserve">Condition of the structure, inlet headwall, and outlet headwall: Poor, Fair, or Good.</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CondScr</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Combined condition score. Each condition mapped Poor 1, Fair 0.5, Good 0. With all three present, 0.5 structure plus 0.3 inlet plus 0.2 outlet; with two present the weights are renormalized; with one present that value is used directly.</w:t>
            </w:r>
          </w:p>
        </w:tc>
      </w:tr>
      <w:tr>
        <w:tc>
          <w:tcPr>
            <w:tcW w:type="dxa" w:w="3200"/>
            <w:tcMar>
              <w:top w:type="dxa" w:w="40"/>
              <w:left w:type="dxa" w:w="90"/>
              <w:bottom w:type="dxa" w:w="40"/>
              <w:right w:type="dxa" w:w="90"/>
            </w:tcMar>
          </w:tcPr>
          <w:p>
            <w:pPr>
              <w:spacing w:after="0" w:line="264"/>
            </w:pPr>
            <w:r>
              <w:rPr>
                <w:b/>
                <w:bCs/>
                <w:sz w:val="19"/>
                <w:szCs w:val="19"/>
              </w:rPr>
              <w:t xml:space="preserve">UsSize / SizeScr</w:t>
            </w:r>
          </w:p>
        </w:tc>
        <w:tc>
          <w:tcPr>
            <w:tcW w:type="dxa" w:w="6160"/>
            <w:tcMar>
              <w:top w:type="dxa" w:w="40"/>
              <w:left w:type="dxa" w:w="90"/>
              <w:bottom w:type="dxa" w:w="40"/>
              <w:right w:type="dxa" w:w="90"/>
            </w:tcMar>
          </w:tcPr>
          <w:p>
            <w:pPr>
              <w:spacing w:after="0" w:line="264"/>
            </w:pPr>
            <w:r>
              <w:rPr>
                <w:b w:val="false"/>
                <w:bCs w:val="false"/>
                <w:sz w:val="19"/>
                <w:szCs w:val="19"/>
              </w:rPr>
              <w:t xml:space="preserve">Upstream opening area (square feet) and its size score. Area is pi/4 times width squared for round culverts and width times opening height otherwise; an area of 0 is treated as missing. Bins: over 0 to 7.07 score 0, over 7.07 to 12.5 score 0.02, over 12.5 to 16 score 0.184, over 16 to 38.5 score 0.51, over 38.5 score 1.</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StructMat / MatScr</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Construction material and score. Steel-Corrugated, Steel-Smooth, Aluminum-Corrugated 1; Masonry and Stone 0.25; Concrete 0.111; Plastic-Corrugated and Plastic-Smooth 0.028; Other and Wood 0.</w:t>
            </w:r>
          </w:p>
        </w:tc>
      </w:tr>
      <w:tr>
        <w:tc>
          <w:tcPr>
            <w:tcW w:type="dxa" w:w="3200"/>
            <w:tcMar>
              <w:top w:type="dxa" w:w="40"/>
              <w:left w:type="dxa" w:w="90"/>
              <w:bottom w:type="dxa" w:w="40"/>
              <w:right w:type="dxa" w:w="90"/>
            </w:tcMar>
          </w:tcPr>
          <w:p>
            <w:pPr>
              <w:spacing w:after="0" w:line="264"/>
            </w:pPr>
            <w:r>
              <w:rPr>
                <w:b/>
                <w:bCs/>
                <w:sz w:val="19"/>
                <w:szCs w:val="19"/>
              </w:rPr>
              <w:t xml:space="preserve">CoverDepth</w:t>
            </w:r>
          </w:p>
        </w:tc>
        <w:tc>
          <w:tcPr>
            <w:tcW w:type="dxa" w:w="6160"/>
            <w:tcMar>
              <w:top w:type="dxa" w:w="40"/>
              <w:left w:type="dxa" w:w="90"/>
              <w:bottom w:type="dxa" w:w="40"/>
              <w:right w:type="dxa" w:w="90"/>
            </w:tcMar>
          </w:tcPr>
          <w:p>
            <w:pPr>
              <w:spacing w:after="0" w:line="264"/>
            </w:pPr>
            <w:r>
              <w:rPr>
                <w:b w:val="false"/>
                <w:bCs w:val="false"/>
                <w:sz w:val="19"/>
                <w:szCs w:val="19"/>
              </w:rPr>
              <w:t xml:space="preserve">Depth of soil cover, feet. Retained as a field attribute only; the depth of cover criterion is not scored.</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SRScr</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Structural Risk goal score.</w:t>
            </w:r>
          </w:p>
        </w:tc>
      </w:tr>
      <w:tr>
        <w:tc>
          <w:tcPr>
            <w:tcW w:type="dxa" w:w="3200"/>
            <w:tcMar>
              <w:top w:type="dxa" w:w="40"/>
              <w:left w:type="dxa" w:w="90"/>
              <w:bottom w:type="dxa" w:w="40"/>
              <w:right w:type="dxa" w:w="90"/>
            </w:tcMar>
          </w:tcPr>
          <w:p>
            <w:pPr>
              <w:spacing w:after="0" w:line="264"/>
            </w:pPr>
            <w:r>
              <w:rPr>
                <w:b/>
                <w:bCs/>
                <w:sz w:val="19"/>
                <w:szCs w:val="19"/>
              </w:rPr>
              <w:t xml:space="preserve">SRMSRank / SRQualMS</w:t>
            </w:r>
          </w:p>
        </w:tc>
        <w:tc>
          <w:tcPr>
            <w:tcW w:type="dxa" w:w="6160"/>
            <w:tcMar>
              <w:top w:type="dxa" w:w="40"/>
              <w:left w:type="dxa" w:w="90"/>
              <w:bottom w:type="dxa" w:w="40"/>
              <w:right w:type="dxa" w:w="90"/>
            </w:tcMar>
          </w:tcPr>
          <w:p>
            <w:pPr>
              <w:spacing w:after="0" w:line="264"/>
            </w:pPr>
            <w:r>
              <w:rPr>
                <w:b w:val="false"/>
                <w:bCs w:val="false"/>
                <w:sz w:val="19"/>
                <w:szCs w:val="19"/>
              </w:rPr>
              <w:t xml:space="preserve">Mean-substituted rank and Jenks class reported on the Structural Risk sheet.</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ConfSR</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Data completeness for Structural Risk.</w:t>
            </w:r>
          </w:p>
        </w:tc>
      </w:tr>
    </w:tbl>
    <w:p>
      <w:pPr>
        <w:pStyle w:val="Heading2"/>
        <w:spacing w:after="80" w:before="180"/>
      </w:pPr>
      <w:r>
        <w:t xml:space="preserve">Road Criticality</w:t>
      </w:r>
    </w:p>
    <w:p>
      <w:pPr>
        <w:spacing w:after="120" w:line="276"/>
      </w:pPr>
      <w:r>
        <w:rPr>
          <w:b w:val="false"/>
          <w:bCs w:val="false"/>
          <w:i w:val="false"/>
          <w:iCs w:val="false"/>
          <w:sz w:val="21"/>
          <w:szCs w:val="21"/>
        </w:rPr>
        <w:t xml:space="preserve">Road criticality is the dynamic weighted average of annual average daily traffic, distance to important services, and functional classification. Criterion weights: AADT 0.592, distance to services 0.579, functional classification 0.537.</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sz w:val="19"/>
                <w:szCs w:val="19"/>
              </w:rPr>
              <w:t xml:space="preserve">Description</w:t>
            </w:r>
          </w:p>
        </w:tc>
      </w:tr>
      <w:tr>
        <w:tc>
          <w:tcPr>
            <w:tcW w:type="dxa" w:w="3200"/>
            <w:tcMar>
              <w:top w:type="dxa" w:w="40"/>
              <w:left w:type="dxa" w:w="90"/>
              <w:bottom w:type="dxa" w:w="40"/>
              <w:right w:type="dxa" w:w="90"/>
            </w:tcMar>
          </w:tcPr>
          <w:p>
            <w:pPr>
              <w:spacing w:after="0" w:line="264"/>
            </w:pPr>
            <w:r>
              <w:rPr>
                <w:b/>
                <w:bCs/>
                <w:sz w:val="19"/>
                <w:szCs w:val="19"/>
              </w:rPr>
              <w:t xml:space="preserve">AADT / AADTScr</w:t>
            </w:r>
          </w:p>
        </w:tc>
        <w:tc>
          <w:tcPr>
            <w:tcW w:type="dxa" w:w="6160"/>
            <w:tcMar>
              <w:top w:type="dxa" w:w="40"/>
              <w:left w:type="dxa" w:w="90"/>
              <w:bottom w:type="dxa" w:w="40"/>
              <w:right w:type="dxa" w:w="90"/>
            </w:tcMar>
          </w:tcPr>
          <w:p>
            <w:pPr>
              <w:spacing w:after="0" w:line="264"/>
            </w:pPr>
            <w:r>
              <w:rPr>
                <w:b w:val="false"/>
                <w:bCs w:val="false"/>
                <w:sz w:val="19"/>
                <w:szCs w:val="19"/>
              </w:rPr>
              <w:t xml:space="preserve">Annual average daily traffic and its binned score. Under 2,000 score 0.028, 2,000 to 4,000 score 0.111, 4,000 to 6,000 score 0.25, 6,000 to 10,000 score 0.444, 10,000 to 20,000 score 0.694, 20,000 and above score 1.</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MinDstImP / DstIMPScr</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Minimum distance to the nearest hospital, EMS, law enforcement, or fire station (miles) and its score. 0 to 0.5 score 1, over 0.5 to 1 score 0.75, over 1 to 1.5 score 0.5, over 1.5 to 2 score 0.25, over 2 a real 0. A missing distance scores NaN.</w:t>
            </w:r>
          </w:p>
        </w:tc>
      </w:tr>
      <w:tr>
        <w:tc>
          <w:tcPr>
            <w:tcW w:type="dxa" w:w="3200"/>
            <w:tcMar>
              <w:top w:type="dxa" w:w="40"/>
              <w:left w:type="dxa" w:w="90"/>
              <w:bottom w:type="dxa" w:w="40"/>
              <w:right w:type="dxa" w:w="90"/>
            </w:tcMar>
          </w:tcPr>
          <w:p>
            <w:pPr>
              <w:spacing w:after="0" w:line="264"/>
            </w:pPr>
            <w:r>
              <w:rPr>
                <w:b/>
                <w:bCs/>
                <w:sz w:val="19"/>
                <w:szCs w:val="19"/>
              </w:rPr>
              <w:t xml:space="preserve">FUNCT_SYST / FncSysScr</w:t>
            </w:r>
          </w:p>
        </w:tc>
        <w:tc>
          <w:tcPr>
            <w:tcW w:type="dxa" w:w="6160"/>
            <w:tcMar>
              <w:top w:type="dxa" w:w="40"/>
              <w:left w:type="dxa" w:w="90"/>
              <w:bottom w:type="dxa" w:w="40"/>
              <w:right w:type="dxa" w:w="90"/>
            </w:tcMar>
          </w:tcPr>
          <w:p>
            <w:pPr>
              <w:spacing w:after="0" w:line="264"/>
            </w:pPr>
            <w:r>
              <w:rPr>
                <w:b w:val="false"/>
                <w:bCs w:val="false"/>
                <w:sz w:val="19"/>
                <w:szCs w:val="19"/>
              </w:rPr>
              <w:t xml:space="preserve">FHWA functional classification and score. 1 Interstate score 1, 2 score 0.833, 3 score 0.667, 4 score 0.5, 5 score 0.33, 6 score 0.167, 7 Local and 0 unclassified score 0.</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RCScr</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Road Criticality goal score.</w:t>
            </w:r>
          </w:p>
        </w:tc>
      </w:tr>
      <w:tr>
        <w:tc>
          <w:tcPr>
            <w:tcW w:type="dxa" w:w="3200"/>
            <w:tcMar>
              <w:top w:type="dxa" w:w="40"/>
              <w:left w:type="dxa" w:w="90"/>
              <w:bottom w:type="dxa" w:w="40"/>
              <w:right w:type="dxa" w:w="90"/>
            </w:tcMar>
          </w:tcPr>
          <w:p>
            <w:pPr>
              <w:spacing w:after="0" w:line="264"/>
            </w:pPr>
            <w:r>
              <w:rPr>
                <w:b/>
                <w:bCs/>
                <w:sz w:val="19"/>
                <w:szCs w:val="19"/>
              </w:rPr>
              <w:t xml:space="preserve">RCMSRank / RCQualMS</w:t>
            </w:r>
          </w:p>
        </w:tc>
        <w:tc>
          <w:tcPr>
            <w:tcW w:type="dxa" w:w="6160"/>
            <w:tcMar>
              <w:top w:type="dxa" w:w="40"/>
              <w:left w:type="dxa" w:w="90"/>
              <w:bottom w:type="dxa" w:w="40"/>
              <w:right w:type="dxa" w:w="90"/>
            </w:tcMar>
          </w:tcPr>
          <w:p>
            <w:pPr>
              <w:spacing w:after="0" w:line="264"/>
            </w:pPr>
            <w:r>
              <w:rPr>
                <w:b w:val="false"/>
                <w:bCs w:val="false"/>
                <w:sz w:val="19"/>
                <w:szCs w:val="19"/>
              </w:rPr>
              <w:t xml:space="preserve">Mean-substituted rank and Jenks class reported on the Road Criticality sheet.</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ConfRC</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Data completeness for Road Criticality.</w:t>
            </w:r>
          </w:p>
        </w:tc>
      </w:tr>
    </w:tbl>
    <w:p>
      <w:pPr>
        <w:pStyle w:val="Heading2"/>
        <w:spacing w:after="80" w:before="180"/>
      </w:pPr>
      <w:r>
        <w:t xml:space="preserve">Wildlife Connectivity</w:t>
      </w:r>
    </w:p>
    <w:p>
      <w:pPr>
        <w:spacing w:after="120" w:line="276"/>
      </w:pPr>
      <w:r>
        <w:rPr>
          <w:b w:val="false"/>
          <w:bCs w:val="false"/>
          <w:i w:val="false"/>
          <w:iCs w:val="false"/>
          <w:sz w:val="21"/>
          <w:szCs w:val="21"/>
        </w:rPr>
        <w:t xml:space="preserve">Wildlife connectivity is the dynamic weighted average of aquatic organism passage, special species (admitted only when the aquatic organism passage score is greater than 0), and wildlife corridor. Criterion weights: aquatic organism passage 0.779, special species 0.729, terrestrial organism passage (wildlife corridor) 0.671.</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sz w:val="19"/>
                <w:szCs w:val="19"/>
              </w:rPr>
              <w:t xml:space="preserve">Description</w:t>
            </w:r>
          </w:p>
        </w:tc>
      </w:tr>
      <w:tr>
        <w:tc>
          <w:tcPr>
            <w:tcW w:type="dxa" w:w="3200"/>
            <w:tcMar>
              <w:top w:type="dxa" w:w="40"/>
              <w:left w:type="dxa" w:w="90"/>
              <w:bottom w:type="dxa" w:w="40"/>
              <w:right w:type="dxa" w:w="90"/>
            </w:tcMar>
          </w:tcPr>
          <w:p>
            <w:pPr>
              <w:spacing w:after="0" w:line="264"/>
            </w:pPr>
            <w:r>
              <w:rPr>
                <w:b/>
                <w:bCs/>
                <w:sz w:val="19"/>
                <w:szCs w:val="19"/>
              </w:rPr>
              <w:t xml:space="preserve">AOP_Score / AOPScr</w:t>
            </w:r>
          </w:p>
        </w:tc>
        <w:tc>
          <w:tcPr>
            <w:tcW w:type="dxa" w:w="6160"/>
            <w:tcMar>
              <w:top w:type="dxa" w:w="40"/>
              <w:left w:type="dxa" w:w="90"/>
              <w:bottom w:type="dxa" w:w="40"/>
              <w:right w:type="dxa" w:w="90"/>
            </w:tcMar>
          </w:tcPr>
          <w:p>
            <w:pPr>
              <w:spacing w:after="0" w:line="264"/>
            </w:pPr>
            <w:r>
              <w:rPr>
                <w:b w:val="false"/>
                <w:bCs w:val="false"/>
                <w:sz w:val="19"/>
                <w:szCs w:val="19"/>
              </w:rPr>
              <w:t xml:space="preserve">Aquatic organism passage category and score. Full Passage 0, Reduced Passage 0.33, Passage only for Adult Trout 0.66, No Passage 1. NaN only where no data exist.</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Sp_Sp_FG / SpSpScr</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Special species presence flag and score. Confirmed presence 1, absence NaN. Source: NH Fish and Game, six priority fish species. Admitted to the goal score only when the aquatic organism passage score is greater than 0.</w:t>
            </w:r>
          </w:p>
        </w:tc>
      </w:tr>
      <w:tr>
        <w:tc>
          <w:tcPr>
            <w:tcW w:type="dxa" w:w="3200"/>
            <w:tcMar>
              <w:top w:type="dxa" w:w="40"/>
              <w:left w:type="dxa" w:w="90"/>
              <w:bottom w:type="dxa" w:w="40"/>
              <w:right w:type="dxa" w:w="90"/>
            </w:tcMar>
          </w:tcPr>
          <w:p>
            <w:pPr>
              <w:spacing w:after="0" w:line="264"/>
            </w:pPr>
            <w:r>
              <w:rPr>
                <w:b/>
                <w:bCs/>
                <w:sz w:val="19"/>
                <w:szCs w:val="19"/>
              </w:rPr>
              <w:t xml:space="preserve">WlCo / WlCoScr</w:t>
            </w:r>
          </w:p>
        </w:tc>
        <w:tc>
          <w:tcPr>
            <w:tcW w:type="dxa" w:w="6160"/>
            <w:tcMar>
              <w:top w:type="dxa" w:w="40"/>
              <w:left w:type="dxa" w:w="90"/>
              <w:bottom w:type="dxa" w:w="40"/>
              <w:right w:type="dxa" w:w="90"/>
            </w:tcMar>
          </w:tcPr>
          <w:p>
            <w:pPr>
              <w:spacing w:after="0" w:line="264"/>
            </w:pPr>
            <w:r>
              <w:rPr>
                <w:b w:val="false"/>
                <w:bCs w:val="false"/>
                <w:sz w:val="19"/>
                <w:szCs w:val="19"/>
              </w:rPr>
              <w:t xml:space="preserve">Wildlife corridor flag and score. Inside a mapped corridor 1, otherwise a real 0. Point-in-polygon containment against the NH Fish and Game statewide wildlife connectivity model. Added in UNH Beta Model v1.2.</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WLScr</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Wildlife Connectivity goal score.</w:t>
            </w:r>
          </w:p>
        </w:tc>
      </w:tr>
      <w:tr>
        <w:tc>
          <w:tcPr>
            <w:tcW w:type="dxa" w:w="3200"/>
            <w:tcMar>
              <w:top w:type="dxa" w:w="40"/>
              <w:left w:type="dxa" w:w="90"/>
              <w:bottom w:type="dxa" w:w="40"/>
              <w:right w:type="dxa" w:w="90"/>
            </w:tcMar>
          </w:tcPr>
          <w:p>
            <w:pPr>
              <w:spacing w:after="0" w:line="264"/>
            </w:pPr>
            <w:r>
              <w:rPr>
                <w:b/>
                <w:bCs/>
                <w:sz w:val="19"/>
                <w:szCs w:val="19"/>
              </w:rPr>
              <w:t xml:space="preserve">WLMSRank / WLQualMS</w:t>
            </w:r>
          </w:p>
        </w:tc>
        <w:tc>
          <w:tcPr>
            <w:tcW w:type="dxa" w:w="6160"/>
            <w:tcMar>
              <w:top w:type="dxa" w:w="40"/>
              <w:left w:type="dxa" w:w="90"/>
              <w:bottom w:type="dxa" w:w="40"/>
              <w:right w:type="dxa" w:w="90"/>
            </w:tcMar>
          </w:tcPr>
          <w:p>
            <w:pPr>
              <w:spacing w:after="0" w:line="264"/>
            </w:pPr>
            <w:r>
              <w:rPr>
                <w:b w:val="false"/>
                <w:bCs w:val="false"/>
                <w:sz w:val="19"/>
                <w:szCs w:val="19"/>
              </w:rPr>
              <w:t xml:space="preserve">Mean-substituted rank and Jenks class reported on the Wildlife Connectivity sheet.</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ConfWL</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Data completeness for Wildlife Connectivity.</w:t>
            </w:r>
          </w:p>
        </w:tc>
      </w:tr>
    </w:tbl>
    <w:p>
      <w:pPr>
        <w:pStyle w:val="Heading2"/>
        <w:spacing w:after="80" w:before="180"/>
      </w:pPr>
      <w:r>
        <w:t xml:space="preserve">Habitat Quality</w:t>
      </w:r>
    </w:p>
    <w:p>
      <w:pPr>
        <w:spacing w:after="120" w:line="276"/>
      </w:pPr>
      <w:r>
        <w:rPr>
          <w:b w:val="false"/>
          <w:bCs w:val="false"/>
          <w:i w:val="false"/>
          <w:iCs w:val="false"/>
          <w:sz w:val="21"/>
          <w:szCs w:val="21"/>
        </w:rPr>
        <w:t xml:space="preserve">Habitat quality is the dynamic weighted average of Habitat Condition Tier, wetland proximity, and conservation status. Criterion weights: Habitat Condition Tier 0.694, wetland proximity 0.700, conservation status 0.620. The first criterion is renamed from habitat quality to Habitat Condition Tier in UNH Beta Model v1.2 to distinguish it from the goal name.</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sz w:val="19"/>
                <w:szCs w:val="19"/>
              </w:rPr>
              <w:t xml:space="preserve">Description</w:t>
            </w:r>
          </w:p>
        </w:tc>
      </w:tr>
      <w:tr>
        <w:tc>
          <w:tcPr>
            <w:tcW w:type="dxa" w:w="3200"/>
            <w:tcMar>
              <w:top w:type="dxa" w:w="40"/>
              <w:left w:type="dxa" w:w="90"/>
              <w:bottom w:type="dxa" w:w="40"/>
              <w:right w:type="dxa" w:w="90"/>
            </w:tcMar>
          </w:tcPr>
          <w:p>
            <w:pPr>
              <w:spacing w:after="0" w:line="264"/>
            </w:pPr>
            <w:r>
              <w:rPr>
                <w:b/>
                <w:bCs/>
                <w:sz w:val="19"/>
                <w:szCs w:val="19"/>
              </w:rPr>
              <w:t xml:space="preserve">WAP_TIER / HQ_WAP / HCTScr</w:t>
            </w:r>
          </w:p>
        </w:tc>
        <w:tc>
          <w:tcPr>
            <w:tcW w:type="dxa" w:w="6160"/>
            <w:tcMar>
              <w:top w:type="dxa" w:w="40"/>
              <w:left w:type="dxa" w:w="90"/>
              <w:bottom w:type="dxa" w:w="40"/>
              <w:right w:type="dxa" w:w="90"/>
            </w:tcMar>
          </w:tcPr>
          <w:p>
            <w:pPr>
              <w:spacing w:after="0" w:line="264"/>
            </w:pPr>
            <w:r>
              <w:rPr>
                <w:b w:val="false"/>
                <w:bCs w:val="false"/>
                <w:sz w:val="19"/>
                <w:szCs w:val="19"/>
              </w:rPr>
              <w:t xml:space="preserve">Habitat condition tier of the highest-ranked habitat polygon within 100 ft, from the 2020 NH Wildlife Action Plan. Tier 1 scores 1.0, Tier 2 scores 0.66, Tier 3 scores 0.33, outside any ranked tier a real 0. HCTScr is the criterion score (was HQScr).</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Wetlnd / WtlndScr</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Wetland proximity flag and score. A wetland from the National Wetlands Inventory (Riverine excluded) within 100 ft scores 1, none within 100 ft a real 0.</w:t>
            </w:r>
          </w:p>
        </w:tc>
      </w:tr>
      <w:tr>
        <w:tc>
          <w:tcPr>
            <w:tcW w:type="dxa" w:w="3200"/>
            <w:tcMar>
              <w:top w:type="dxa" w:w="40"/>
              <w:left w:type="dxa" w:w="90"/>
              <w:bottom w:type="dxa" w:w="40"/>
              <w:right w:type="dxa" w:w="90"/>
            </w:tcMar>
          </w:tcPr>
          <w:p>
            <w:pPr>
              <w:spacing w:after="0" w:line="264"/>
            </w:pPr>
            <w:r>
              <w:rPr>
                <w:b/>
                <w:bCs/>
                <w:sz w:val="19"/>
                <w:szCs w:val="19"/>
              </w:rPr>
              <w:t xml:space="preserve">ConsvStat / CnsvStScr</w:t>
            </w:r>
          </w:p>
        </w:tc>
        <w:tc>
          <w:tcPr>
            <w:tcW w:type="dxa" w:w="6160"/>
            <w:tcMar>
              <w:top w:type="dxa" w:w="40"/>
              <w:left w:type="dxa" w:w="90"/>
              <w:bottom w:type="dxa" w:w="40"/>
              <w:right w:type="dxa" w:w="90"/>
            </w:tcMar>
          </w:tcPr>
          <w:p>
            <w:pPr>
              <w:spacing w:after="0" w:line="264"/>
            </w:pPr>
            <w:r>
              <w:rPr>
                <w:b w:val="false"/>
                <w:bCs w:val="false"/>
                <w:sz w:val="19"/>
                <w:szCs w:val="19"/>
              </w:rPr>
              <w:t xml:space="preserve">Conservation status flag and score. Conserved or public land from the NH GRANIT Conservation/Public Lands layer within 100 ft scores 1, none within 100 ft a real 0.</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HQGScr</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Habitat Quality goal score.</w:t>
            </w:r>
          </w:p>
        </w:tc>
      </w:tr>
      <w:tr>
        <w:tc>
          <w:tcPr>
            <w:tcW w:type="dxa" w:w="3200"/>
            <w:tcMar>
              <w:top w:type="dxa" w:w="40"/>
              <w:left w:type="dxa" w:w="90"/>
              <w:bottom w:type="dxa" w:w="40"/>
              <w:right w:type="dxa" w:w="90"/>
            </w:tcMar>
          </w:tcPr>
          <w:p>
            <w:pPr>
              <w:spacing w:after="0" w:line="264"/>
            </w:pPr>
            <w:r>
              <w:rPr>
                <w:b/>
                <w:bCs/>
                <w:sz w:val="19"/>
                <w:szCs w:val="19"/>
              </w:rPr>
              <w:t xml:space="preserve">HQGMSRank / HQGQualMS</w:t>
            </w:r>
          </w:p>
        </w:tc>
        <w:tc>
          <w:tcPr>
            <w:tcW w:type="dxa" w:w="6160"/>
            <w:tcMar>
              <w:top w:type="dxa" w:w="40"/>
              <w:left w:type="dxa" w:w="90"/>
              <w:bottom w:type="dxa" w:w="40"/>
              <w:right w:type="dxa" w:w="90"/>
            </w:tcMar>
          </w:tcPr>
          <w:p>
            <w:pPr>
              <w:spacing w:after="0" w:line="264"/>
            </w:pPr>
            <w:r>
              <w:rPr>
                <w:b w:val="false"/>
                <w:bCs w:val="false"/>
                <w:sz w:val="19"/>
                <w:szCs w:val="19"/>
              </w:rPr>
              <w:t xml:space="preserve">Mean-substituted rank and Jenks class reported on the Habitat Quality sheet.</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ConfHQG</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Data completeness for Habitat Quality.</w:t>
            </w:r>
          </w:p>
        </w:tc>
      </w:tr>
    </w:tbl>
    <w:p>
      <w:pPr>
        <w:pStyle w:val="Heading2"/>
        <w:spacing w:after="80" w:before="180"/>
      </w:pPr>
      <w:r>
        <w:t xml:space="preserve">Environmental Justice</w:t>
      </w:r>
    </w:p>
    <w:p>
      <w:pPr>
        <w:spacing w:after="120" w:line="276"/>
      </w:pPr>
      <w:r>
        <w:rPr>
          <w:b w:val="false"/>
          <w:bCs w:val="false"/>
          <w:i w:val="false"/>
          <w:iCs w:val="false"/>
          <w:sz w:val="21"/>
          <w:szCs w:val="21"/>
        </w:rPr>
        <w:t xml:space="preserve">Environmental Justice is a binary criterion saved in EJScr. It enters the total score as a raw 0 to 1 value at goal weight 0.533, and is not min-max normalized or independently classified.</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sz w:val="19"/>
                <w:szCs w:val="19"/>
              </w:rPr>
              <w:t xml:space="preserve">Description</w:t>
            </w:r>
          </w:p>
        </w:tc>
      </w:tr>
      <w:tr>
        <w:tc>
          <w:tcPr>
            <w:tcW w:type="dxa" w:w="3200"/>
            <w:tcMar>
              <w:top w:type="dxa" w:w="40"/>
              <w:left w:type="dxa" w:w="90"/>
              <w:bottom w:type="dxa" w:w="40"/>
              <w:right w:type="dxa" w:w="90"/>
            </w:tcMar>
          </w:tcPr>
          <w:p>
            <w:pPr>
              <w:spacing w:after="0" w:line="264"/>
            </w:pPr>
            <w:r>
              <w:rPr>
                <w:b/>
                <w:bCs/>
                <w:sz w:val="19"/>
                <w:szCs w:val="19"/>
              </w:rPr>
              <w:t xml:space="preserve">EJScr / EJ</w:t>
            </w:r>
          </w:p>
        </w:tc>
        <w:tc>
          <w:tcPr>
            <w:tcW w:type="dxa" w:w="6160"/>
            <w:tcMar>
              <w:top w:type="dxa" w:w="40"/>
              <w:left w:type="dxa" w:w="90"/>
              <w:bottom w:type="dxa" w:w="40"/>
              <w:right w:type="dxa" w:w="90"/>
            </w:tcMar>
          </w:tcPr>
          <w:p>
            <w:pPr>
              <w:spacing w:after="0" w:line="264"/>
            </w:pPr>
            <w:r>
              <w:rPr>
                <w:b w:val="false"/>
                <w:bCs w:val="false"/>
                <w:sz w:val="19"/>
                <w:szCs w:val="19"/>
              </w:rPr>
              <w:t xml:space="preserve">1 where the crossing lies inside a disadvantaged community identified by the federal Climate and Economic Justice Screening Tool, otherwise a real 0. EJ is the display form, shown as disadvantaged where the flag is set.</w:t>
            </w:r>
          </w:p>
        </w:tc>
      </w:tr>
    </w:tbl>
    <w:p>
      <w:pPr>
        <w:pStyle w:val="Heading2"/>
        <w:spacing w:after="80" w:before="180"/>
      </w:pPr>
      <w:r>
        <w:t xml:space="preserve">Economic Impact</w:t>
      </w:r>
    </w:p>
    <w:p>
      <w:pPr>
        <w:spacing w:after="120" w:line="276"/>
      </w:pPr>
      <w:r>
        <w:rPr>
          <w:b w:val="false"/>
          <w:bCs w:val="false"/>
          <w:i w:val="false"/>
          <w:iCs w:val="false"/>
          <w:sz w:val="21"/>
          <w:szCs w:val="21"/>
        </w:rPr>
        <w:t xml:space="preserve">Economic Impact is an estimated replacement cost reported for planning. It is not part of the priority score.</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sz w:val="19"/>
                <w:szCs w:val="19"/>
              </w:rPr>
              <w:t xml:space="preserve">Description</w:t>
            </w:r>
          </w:p>
        </w:tc>
      </w:tr>
      <w:tr>
        <w:tc>
          <w:tcPr>
            <w:tcW w:type="dxa" w:w="3200"/>
            <w:tcMar>
              <w:top w:type="dxa" w:w="40"/>
              <w:left w:type="dxa" w:w="90"/>
              <w:bottom w:type="dxa" w:w="40"/>
              <w:right w:type="dxa" w:w="90"/>
            </w:tcMar>
          </w:tcPr>
          <w:p>
            <w:pPr>
              <w:spacing w:after="0" w:line="264"/>
            </w:pPr>
            <w:r>
              <w:rPr>
                <w:b/>
                <w:bCs/>
                <w:sz w:val="19"/>
                <w:szCs w:val="19"/>
              </w:rPr>
              <w:t xml:space="preserve">CstMult</w:t>
            </w:r>
          </w:p>
        </w:tc>
        <w:tc>
          <w:tcPr>
            <w:tcW w:type="dxa" w:w="6160"/>
            <w:tcMar>
              <w:top w:type="dxa" w:w="40"/>
              <w:left w:type="dxa" w:w="90"/>
              <w:bottom w:type="dxa" w:w="40"/>
              <w:right w:type="dxa" w:w="90"/>
            </w:tcMar>
          </w:tcPr>
          <w:p>
            <w:pPr>
              <w:spacing w:after="0" w:line="264"/>
            </w:pPr>
            <w:r>
              <w:rPr>
                <w:b w:val="false"/>
                <w:bCs w:val="false"/>
                <w:sz w:val="19"/>
                <w:szCs w:val="19"/>
              </w:rPr>
              <w:t xml:space="preserve">Cost multiplier by NHDOT road tier (field TIER). Tiers 1 and 2 use 2.0, Tier 3 uses 1.8, Tier 4 uses 1.2, Tier 5 uses 1.0, Tier 6 uses 1.1, Tier 0 uses 1.0.</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AvgBFW / ReqWidth</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Mean of the three channel bankfull widths, and the required replacement width computed as 1.2 times the average bankfull width plus 2.</w:t>
            </w:r>
          </w:p>
        </w:tc>
      </w:tr>
      <w:tr>
        <w:tc>
          <w:tcPr>
            <w:tcW w:type="dxa" w:w="3200"/>
            <w:tcMar>
              <w:top w:type="dxa" w:w="40"/>
              <w:left w:type="dxa" w:w="90"/>
              <w:bottom w:type="dxa" w:w="40"/>
              <w:right w:type="dxa" w:w="90"/>
            </w:tcMar>
          </w:tcPr>
          <w:p>
            <w:pPr>
              <w:spacing w:after="0" w:line="264"/>
            </w:pPr>
            <w:r>
              <w:rPr>
                <w:b/>
                <w:bCs/>
                <w:sz w:val="19"/>
                <w:szCs w:val="19"/>
              </w:rPr>
              <w:t xml:space="preserve">Cost</w:t>
            </w:r>
          </w:p>
        </w:tc>
        <w:tc>
          <w:tcPr>
            <w:tcW w:type="dxa" w:w="6160"/>
            <w:tcMar>
              <w:top w:type="dxa" w:w="40"/>
              <w:left w:type="dxa" w:w="90"/>
              <w:bottom w:type="dxa" w:w="40"/>
              <w:right w:type="dxa" w:w="90"/>
            </w:tcMar>
          </w:tcPr>
          <w:p>
            <w:pPr>
              <w:spacing w:after="0" w:line="264"/>
            </w:pPr>
            <w:r>
              <w:rPr>
                <w:b w:val="false"/>
                <w:bCs w:val="false"/>
                <w:sz w:val="19"/>
                <w:szCs w:val="19"/>
              </w:rPr>
              <w:t xml:space="preserve">Unrounded replacement cost estimate (dollars), computed as CPI times base cost per unit area times structure length times required width times the cost multiplier. A computed cost of 0 is treated as missing. CPI 1.2358, base cost 500 dollars per unit area.</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CostEstimate</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Planning-level replacement cost rounded to a whole reporting increment (default 10,000 dollars, rounded up), so the reported figure reads with trailing zeros, for example 150,000 or 1,270,000. Replaces the RoundCost column of the ARPA-phase workbook. The rounding base and direction are configurable in configs/params.json.</w:t>
            </w:r>
          </w:p>
        </w:tc>
      </w:tr>
    </w:tbl>
    <w:p>
      <w:pPr>
        <w:pStyle w:val="Heading2"/>
        <w:spacing w:after="80" w:before="180"/>
      </w:pPr>
      <w:r>
        <w:t xml:space="preserve">Total Score</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sz w:val="19"/>
                <w:szCs w:val="19"/>
              </w:rPr>
              <w:t xml:space="preserve">Description</w:t>
            </w:r>
          </w:p>
        </w:tc>
      </w:tr>
      <w:tr>
        <w:tc>
          <w:tcPr>
            <w:tcW w:type="dxa" w:w="3200"/>
            <w:tcMar>
              <w:top w:type="dxa" w:w="40"/>
              <w:left w:type="dxa" w:w="90"/>
              <w:bottom w:type="dxa" w:w="40"/>
              <w:right w:type="dxa" w:w="90"/>
            </w:tcMar>
          </w:tcPr>
          <w:p>
            <w:pPr>
              <w:spacing w:after="0" w:line="264"/>
            </w:pPr>
            <w:r>
              <w:rPr>
                <w:b/>
                <w:bCs/>
                <w:sz w:val="19"/>
                <w:szCs w:val="19"/>
              </w:rPr>
              <w:t xml:space="preserve">TotScr / TotRank / TotQual</w:t>
            </w:r>
          </w:p>
        </w:tc>
        <w:tc>
          <w:tcPr>
            <w:tcW w:type="dxa" w:w="6160"/>
            <w:tcMar>
              <w:top w:type="dxa" w:w="40"/>
              <w:left w:type="dxa" w:w="90"/>
              <w:bottom w:type="dxa" w:w="40"/>
              <w:right w:type="dxa" w:w="90"/>
            </w:tcMar>
          </w:tcPr>
          <w:p>
            <w:pPr>
              <w:spacing w:after="0" w:line="264"/>
            </w:pPr>
            <w:r>
              <w:rPr>
                <w:b w:val="false"/>
                <w:bCs w:val="false"/>
                <w:sz w:val="19"/>
                <w:szCs w:val="19"/>
              </w:rPr>
              <w:t xml:space="preserve">Dynamic total score, rank, and Jenks class. Retained in the All Results sheet only.</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TotScrMS</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Mean-substituted total crossing score. Built from the mean-substituted goal scores. This is the headline score of the workbook.</w:t>
            </w:r>
          </w:p>
        </w:tc>
      </w:tr>
      <w:tr>
        <w:tc>
          <w:tcPr>
            <w:tcW w:type="dxa" w:w="3200"/>
            <w:tcMar>
              <w:top w:type="dxa" w:w="40"/>
              <w:left w:type="dxa" w:w="90"/>
              <w:bottom w:type="dxa" w:w="40"/>
              <w:right w:type="dxa" w:w="90"/>
            </w:tcMar>
          </w:tcPr>
          <w:p>
            <w:pPr>
              <w:spacing w:after="0" w:line="264"/>
            </w:pPr>
            <w:r>
              <w:rPr>
                <w:b/>
                <w:bCs/>
                <w:sz w:val="19"/>
                <w:szCs w:val="19"/>
              </w:rPr>
              <w:t xml:space="preserve">TotMSRank</w:t>
            </w:r>
          </w:p>
        </w:tc>
        <w:tc>
          <w:tcPr>
            <w:tcW w:type="dxa" w:w="6160"/>
            <w:tcMar>
              <w:top w:type="dxa" w:w="40"/>
              <w:left w:type="dxa" w:w="90"/>
              <w:bottom w:type="dxa" w:w="40"/>
              <w:right w:type="dxa" w:w="90"/>
            </w:tcMar>
          </w:tcPr>
          <w:p>
            <w:pPr>
              <w:spacing w:after="0" w:line="264"/>
            </w:pPr>
            <w:r>
              <w:rPr>
                <w:b w:val="false"/>
                <w:bCs w:val="false"/>
                <w:sz w:val="19"/>
                <w:szCs w:val="19"/>
              </w:rPr>
              <w:t xml:space="preserve">Dense rank on TotScrMS, 1 the highest priority. Every goal sheet is sorted by this rank.</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TotQualMS</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Jenks class of TotScrMS, Very Low to Very High.</w:t>
            </w:r>
          </w:p>
        </w:tc>
      </w:tr>
      <w:tr>
        <w:tc>
          <w:tcPr>
            <w:tcW w:type="dxa" w:w="3200"/>
            <w:tcMar>
              <w:top w:type="dxa" w:w="40"/>
              <w:left w:type="dxa" w:w="90"/>
              <w:bottom w:type="dxa" w:w="40"/>
              <w:right w:type="dxa" w:w="90"/>
            </w:tcMar>
          </w:tcPr>
          <w:p>
            <w:pPr>
              <w:spacing w:after="0" w:line="264"/>
            </w:pPr>
            <w:r>
              <w:rPr>
                <w:b/>
                <w:bCs/>
                <w:sz w:val="19"/>
                <w:szCs w:val="19"/>
              </w:rPr>
              <w:t xml:space="preserve">ConfTot</w:t>
            </w:r>
          </w:p>
        </w:tc>
        <w:tc>
          <w:tcPr>
            <w:tcW w:type="dxa" w:w="6160"/>
            <w:tcMar>
              <w:top w:type="dxa" w:w="40"/>
              <w:left w:type="dxa" w:w="90"/>
              <w:bottom w:type="dxa" w:w="40"/>
              <w:right w:type="dxa" w:w="90"/>
            </w:tcMar>
          </w:tcPr>
          <w:p>
            <w:pPr>
              <w:spacing w:after="0" w:line="264"/>
            </w:pPr>
            <w:r>
              <w:rPr>
                <w:b w:val="false"/>
                <w:bCs w:val="false"/>
                <w:sz w:val="19"/>
                <w:szCs w:val="19"/>
              </w:rPr>
              <w:t xml:space="preserve">Overall data completeness across all goals, reported as present of total criteria.</w:t>
            </w:r>
          </w:p>
        </w:tc>
      </w:tr>
    </w:tbl>
    <w:p>
      <w:pPr>
        <w:pStyle w:val="Heading2"/>
        <w:spacing w:after="80" w:before="180"/>
      </w:pPr>
      <w:r>
        <w:t xml:space="preserve">Local review columns</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sz w:val="19"/>
                <w:szCs w:val="19"/>
              </w:rPr>
              <w:t xml:space="preserve">Description</w:t>
            </w:r>
          </w:p>
        </w:tc>
      </w:tr>
      <w:tr>
        <w:tc>
          <w:tcPr>
            <w:tcW w:type="dxa" w:w="3200"/>
            <w:tcMar>
              <w:top w:type="dxa" w:w="40"/>
              <w:left w:type="dxa" w:w="90"/>
              <w:bottom w:type="dxa" w:w="40"/>
              <w:right w:type="dxa" w:w="90"/>
            </w:tcMar>
          </w:tcPr>
          <w:p>
            <w:pPr>
              <w:spacing w:after="0" w:line="264"/>
            </w:pPr>
            <w:r>
              <w:rPr>
                <w:b/>
                <w:bCs/>
                <w:sz w:val="19"/>
                <w:szCs w:val="19"/>
              </w:rPr>
              <w:t xml:space="preserve">LocalPriority</w:t>
            </w:r>
          </w:p>
        </w:tc>
        <w:tc>
          <w:tcPr>
            <w:tcW w:type="dxa" w:w="6160"/>
            <w:tcMar>
              <w:top w:type="dxa" w:w="40"/>
              <w:left w:type="dxa" w:w="90"/>
              <w:bottom w:type="dxa" w:w="40"/>
              <w:right w:type="dxa" w:w="90"/>
            </w:tcMar>
          </w:tcPr>
          <w:p>
            <w:pPr>
              <w:spacing w:after="0" w:line="264"/>
            </w:pPr>
            <w:r>
              <w:rPr>
                <w:b w:val="false"/>
                <w:bCs w:val="false"/>
                <w:sz w:val="19"/>
                <w:szCs w:val="19"/>
              </w:rPr>
              <w:t xml:space="preserve">Blank column for local use. Enter 1 to flag a crossing as a local priority. Nothing entered here feeds back into the model.</w:t>
            </w:r>
          </w:p>
        </w:tc>
      </w:tr>
      <w:tr>
        <w:tc>
          <w:tcPr>
            <w:tcW w:type="dxa" w:w="3200"/>
            <w:shd w:fill="F4F6F5" w:color="auto" w:val="clear"/>
            <w:tcMar>
              <w:top w:type="dxa" w:w="40"/>
              <w:left w:type="dxa" w:w="90"/>
              <w:bottom w:type="dxa" w:w="40"/>
              <w:right w:type="dxa" w:w="90"/>
            </w:tcMar>
          </w:tcPr>
          <w:p>
            <w:pPr>
              <w:spacing w:after="0" w:line="264"/>
            </w:pPr>
            <w:r>
              <w:rPr>
                <w:b/>
                <w:bCs/>
                <w:sz w:val="19"/>
                <w:szCs w:val="19"/>
              </w:rPr>
              <w:t xml:space="preserve">LocalNotes</w:t>
            </w:r>
          </w:p>
        </w:tc>
        <w:tc>
          <w:tcPr>
            <w:tcW w:type="dxa" w:w="6160"/>
            <w:shd w:fill="F4F6F5" w:color="auto" w:val="clear"/>
            <w:tcMar>
              <w:top w:type="dxa" w:w="40"/>
              <w:left w:type="dxa" w:w="90"/>
              <w:bottom w:type="dxa" w:w="40"/>
              <w:right w:type="dxa" w:w="90"/>
            </w:tcMar>
          </w:tcPr>
          <w:p>
            <w:pPr>
              <w:spacing w:after="0" w:line="264"/>
            </w:pPr>
            <w:r>
              <w:rPr>
                <w:b w:val="false"/>
                <w:bCs w:val="false"/>
                <w:sz w:val="19"/>
                <w:szCs w:val="19"/>
              </w:rPr>
              <w:t xml:space="preserve">Blank column for local use. Enter a short reason for the flag, for example 2020 HazMit Plan or sole access to fire station.</w:t>
            </w:r>
          </w:p>
        </w:tc>
      </w:tr>
    </w:tbl>
    <w:p>
      <w:pPr>
        <w:pStyle w:val="Heading1"/>
        <w:spacing w:after="120" w:before="240"/>
      </w:pPr>
      <w:r>
        <w:t xml:space="preserve">Limitations</w:t>
      </w:r>
    </w:p>
    <w:p>
      <w:pPr>
        <w:spacing w:after="120" w:line="276"/>
      </w:pPr>
      <w:r>
        <w:rPr>
          <w:b w:val="false"/>
          <w:bCs w:val="false"/>
          <w:i w:val="false"/>
          <w:iCs w:val="false"/>
          <w:sz w:val="21"/>
          <w:szCs w:val="21"/>
        </w:rPr>
        <w:t xml:space="preserve">The scores are calculated from static data and according to the methodology and assumptions in the Data Decision Matrix. For instance, documented flooding history does not indicate whether a flooded crossing has since been replaced, and the cost estimate assumes replacement with a culvert bridge of standard width. The output is a planning-level list of crossings to prioritize for replacement; further investigation is needed to determine top-priority crossings.</w:t>
      </w:r>
    </w:p>
    <w:p>
      <w:pPr>
        <w:pStyle w:val="Heading1"/>
        <w:spacing w:after="120" w:before="240"/>
      </w:pPr>
      <w:r>
        <w:t xml:space="preserve">Usage</w:t>
      </w:r>
    </w:p>
    <w:p>
      <w:pPr>
        <w:spacing w:after="120" w:line="276"/>
      </w:pPr>
      <w:r>
        <w:rPr>
          <w:b w:val="false"/>
          <w:bCs w:val="false"/>
          <w:i w:val="false"/>
          <w:iCs w:val="false"/>
          <w:sz w:val="21"/>
          <w:szCs w:val="21"/>
        </w:rPr>
        <w:t xml:space="preserve">Input: a CSV containing the required fields, placed at data/input/crossings.csv.</w:t>
      </w:r>
    </w:p>
    <w:p>
      <w:pPr>
        <w:spacing w:after="120" w:line="276"/>
      </w:pPr>
      <w:r>
        <w:rPr>
          <w:b w:val="false"/>
          <w:bCs w:val="false"/>
          <w:i w:val="false"/>
          <w:iCs w:val="false"/>
          <w:sz w:val="21"/>
          <w:szCs w:val="21"/>
        </w:rPr>
        <w:t xml:space="preserve">Output: results CSVs in data/output/, and the formatted workbook report.xlsx. Header definitions are embedded as cell comments in the workbook and held in configs/metadata.csv.</w:t>
      </w:r>
    </w:p>
    <w:p>
      <w:pPr>
        <w:spacing w:after="120" w:line="276"/>
      </w:pPr>
      <w:r>
        <w:rPr>
          <w:b w:val="false"/>
          <w:bCs w:val="false"/>
          <w:i w:val="false"/>
          <w:iCs w:val="false"/>
          <w:sz w:val="21"/>
          <w:szCs w:val="21"/>
        </w:rPr>
        <w:t xml:space="preserve">Execution: install the required Python libraries (pandas, numpy, jenkspy at 0.3.0 or later, and xlsxwriter), then run python src/model.py --input data/input/crossings.csv. Build the default baseline once with python scripts/build_baseline.py, and build the workbook with python scripts/generate_excel_report.py.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0E2233"/>
      <w:sz w:val="28"/>
      <w:szCs w:val="28"/>
    </w:rPr>
  </w:style>
  <w:style w:type="paragraph" w:styleId="Heading2">
    <w:name w:val="Heading 2"/>
    <w:basedOn w:val="Normal"/>
    <w:next w:val="Normal"/>
    <w:qFormat/>
    <w:pPr>
      <w:spacing w:after="80" w:before="180"/>
    </w:pPr>
    <w:rPr>
      <w:b/>
      <w:bCs/>
      <w:color w:val="14606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2026-07-25T17:42:39.253Z</dcterms:created>
  <dcterms:modified xsi:type="dcterms:W3CDTF">2026-07-25T17:42:39.261Z</dcterms:modified>
</cp:coreProperties>
</file>

<file path=docProps/custom.xml><?xml version="1.0" encoding="utf-8"?>
<Properties xmlns="http://schemas.openxmlformats.org/officeDocument/2006/custom-properties" xmlns:vt="http://schemas.openxmlformats.org/officeDocument/2006/docPropsVTypes"/>
</file>