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季度经营分析报告</w:t>
      </w:r>
    </w:p>
    <w:p>
      <w:r>
        <w:t xml:space="preserve">本报告总结了第三季度的经营情况，总收入较上季度增长百分之十二。</w:t>
      </w:r>
    </w:p>
    <w:p>
      <w:pPr>
        <w:pStyle w:val="Heading2"/>
      </w:pPr>
      <w:r>
        <w:t xml:space="preserve">一、收入构成</w:t>
      </w:r>
    </w:p>
    <w:tbl>
      <w:tr>
        <w:tc>
          <w:p>
            <w:r>
              <w:t>地区</w:t>
            </w:r>
          </w:p>
        </w:tc>
        <w:tc>
          <w:p>
            <w:r>
              <w:t>收入（万元）</w:t>
            </w:r>
          </w:p>
        </w:tc>
        <w:tc>
          <w:p>
            <w:r>
              <w:t>同比增长</w:t>
            </w:r>
          </w:p>
        </w:tc>
      </w:tr>
      <w:tr>
        <w:tc>
          <w:p>
            <w:r>
              <w:t>华东</w:t>
            </w:r>
          </w:p>
        </w:tc>
        <w:tc>
          <w:p>
            <w:r>
              <w:t>3280</w:t>
            </w:r>
          </w:p>
        </w:tc>
        <w:tc>
          <w:p>
            <w:r>
              <w:t>15.2%</w:t>
            </w:r>
          </w:p>
        </w:tc>
      </w:tr>
      <w:tr>
        <w:tc>
          <w:p>
            <w:r>
              <w:t>华北</w:t>
            </w:r>
          </w:p>
        </w:tc>
        <w:tc>
          <w:p>
            <w:r>
              <w:t>1975</w:t>
            </w:r>
          </w:p>
        </w:tc>
        <w:tc>
          <w:p>
            <w:r>
              <w:t>8.7%</w:t>
            </w:r>
          </w:p>
        </w:tc>
      </w:tr>
    </w:tbl>
    <w:p>
      <w:r>
        <w:t xml:space="preserve">华北地区增长低于预期，主要受供应链波动影响。</w:t>
      </w:r>
    </w:p>
  </w:body>
</w:document>
</file>