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0F766E"/>
          <w:sz w:val="20"/>
        </w:rPr>
        <w:t>P0 CORE PROJECT · IMPLEMENTATION GUIDE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AMR Agent P0 技术路线与实施 ToDo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28"/>
        </w:rPr>
        <w:t>可验证的多 AMR 仓储作业规划与工具编排 Agent 平台</w:t>
      </w:r>
    </w:p>
    <w:p>
      <w:pPr>
        <w:spacing w:after="520"/>
        <w:jc w:val="center"/>
      </w:pPr>
      <w:r>
        <w:rPr>
          <w:rFonts w:ascii="Calibri" w:hAnsi="Calibri" w:eastAsia="Microsoft YaHei"/>
          <w:i/>
          <w:color w:val="667085"/>
          <w:sz w:val="19"/>
        </w:rPr>
        <w:t>Verified Multi-AMR Warehouse Task Planning and Tool-Orchestration Agent Platform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版本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V1.0 · P0 范围冻结版</w:t>
            </w:r>
          </w:p>
        </w:tc>
      </w:tr>
      <w:tr>
        <w:trPr>
          <w:cantSplit w:val="true"/>
        </w:trPr>
        <w:tc>
          <w:tcPr>
            <w:tcW w:type="dxa" w:w="2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基准日期</w:t>
            </w:r>
          </w:p>
        </w:tc>
        <w:tc>
          <w:tcPr>
            <w:tcW w:type="dxa" w:w="66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2026-08-19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实施环境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Windows · RTX 5060 Ti 16GB · 32GB RAM · Python 3.12 · MSVC</w:t>
            </w:r>
          </w:p>
        </w:tc>
      </w:tr>
      <w:tr>
        <w:trPr>
          <w:cantSplit w:val="true"/>
        </w:trPr>
        <w:tc>
          <w:tcPr>
            <w:tcW w:type="dxa" w:w="2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核心边界</w:t>
            </w:r>
          </w:p>
        </w:tc>
        <w:tc>
          <w:tcPr>
            <w:tcW w:type="dxa" w:w="66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单受控 Agent 编排 4 台物理 AMR；LLM 不直接控制底盘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7F5" w:val="clear"/>
          </w:tcPr>
          <w:p>
            <w:pPr>
              <w:spacing w:after="80"/>
              <w:pBdr>
                <w:left w:val="single" w:sz="24" w:space="10" w:color="0F766E"/>
              </w:pBdr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一句话决策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0"/>
              </w:rPr>
              <w:t>先完成“自然语言订单 → RAG → 结构化任务 DAG → 确定性验证 → C++ 规划 → Python 仿真 → Verifier → 局部重规划/审批 → 证据报告”的闭环；所有 P1/P2 能力均不得阻塞 P0。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 w:eastAsia="Microsoft YaHei"/>
          <w:i/>
          <w:color w:val="667085"/>
          <w:sz w:val="18"/>
        </w:rPr>
        <w:t>本文件是实施基线，不代表任何尚未实测的性能结果。</w:t>
      </w:r>
    </w:p>
    <w:p>
      <w:r>
        <w:br w:type="page"/>
      </w:r>
    </w:p>
    <w:p>
      <w:pPr>
        <w:pStyle w:val="Heading1"/>
      </w:pPr>
      <w:r>
        <w:t>1. 文档定位与范围解释</w:t>
      </w:r>
    </w:p>
    <w:p>
      <w:r>
        <w:rPr>
          <w:rFonts w:ascii="Calibri" w:hAnsi="Calibri" w:eastAsia="Microsoft YaHei"/>
        </w:rPr>
        <w:t>本路线将职业规划与 Agent 知识图谱中的项目建议转化为可执行的 P0 工作包。两份材料仅作为需求和背景来源；本次实施范围以“只做 P0 核心项目”为最高约束。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7F5"/>
          <w:left w:val="single" w:sz="0" w:space="0" w:color="EAF7F5"/>
          <w:bottom w:val="single" w:sz="0" w:space="0" w:color="EAF7F5"/>
          <w:right w:val="single" w:sz="0" w:space="0" w:color="EAF7F5"/>
          <w:insideH w:val="single" w:sz="0" w:space="0" w:color="EAF7F5"/>
          <w:insideV w:val="single" w:sz="0" w:space="0" w:color="EAF7F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7F5" w:val="clear"/>
          </w:tcPr>
          <w:p>
            <w:pPr>
              <w:spacing w:after="80"/>
              <w:pBdr>
                <w:left w:val="single" w:sz="24" w:space="10" w:color="0F766E"/>
              </w:pBdr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系统定位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0"/>
              </w:rPr>
              <w:t>项目不是让 4 个 LLM Agent 自由对话，而是由一个受控 Agent 编排 4 台差速 AMR，并由 C++ 确定性算法和 Python 仿真器验证每个计划。</w:t>
            </w:r>
          </w:p>
        </w:tc>
      </w:tr>
    </w:tbl>
    <w:p>
      <w:pPr>
        <w:spacing w:after="20"/>
      </w:pPr>
    </w:p>
    <w:p>
      <w:pPr>
        <w:pStyle w:val="Heading2"/>
      </w:pPr>
      <w:r>
        <w:t>1.1 纳入 P0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本地模型服务、统一模型网关与结构化输出。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Context Engineering、任务契约、结构化作业 DAG 与确定性 Validator。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Planner-Executor-Verifier-Replanner 受控状态图和 9 个白名单工具。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仓储 SOP RAG、引用、ACL、无答案拒答。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PostgreSQL Checkpoint、幂等、Effect Ledger 与中断恢复。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C++ Hungarian 分配、A* 路径、时空预约表和车队计划验证。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Python 离散事件仿真、故障注入、HITL、安全、Trace 与自动评测。</w:t>
      </w:r>
    </w:p>
    <w:p>
      <w:pPr>
        <w:pStyle w:val="Heading2"/>
      </w:pPr>
      <w:r>
        <w:t>1.2 明确排除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P0 不实施内容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模型与训练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MiniCPM、视觉/VLM、多 LLM Agent、MCP、LoRA、SFT、Agentic RL</w:t>
            </w:r>
          </w:p>
        </w:tc>
      </w:tr>
      <w:tr>
        <w:trPr>
          <w:cantSplit w:val="true"/>
        </w:trPr>
        <w:tc>
          <w:tcPr>
            <w:tcW w:type="dxa" w:w="2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机器人范围</w:t>
            </w:r>
          </w:p>
        </w:tc>
        <w:tc>
          <w:tcPr>
            <w:tcW w:type="dxa" w:w="69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ROS 2、Gazebo、真实底盘、定位、SLAM、感知、电机控制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复杂算法</w:t>
            </w:r>
          </w:p>
        </w:tc>
        <w:tc>
          <w:tcPr>
            <w:tcW w:type="dxa" w:w="69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CBS/ECBS、MILP、MPC、CBF、STL、连续轨迹优化</w:t>
            </w:r>
          </w:p>
        </w:tc>
      </w:tr>
      <w:tr>
        <w:trPr>
          <w:cantSplit w:val="true"/>
        </w:trPr>
        <w:tc>
          <w:tcPr>
            <w:tcW w:type="dxa" w:w="2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平台扩张</w:t>
            </w:r>
          </w:p>
        </w:tc>
        <w:tc>
          <w:tcPr>
            <w:tcW w:type="dxa" w:w="69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Redis、Celery、Kubernetes、完整前端、任意代码执行 Sandbox</w:t>
            </w:r>
          </w:p>
        </w:tc>
      </w:tr>
    </w:tbl>
    <w:p>
      <w:pPr>
        <w:spacing w:after="20"/>
      </w:pPr>
    </w:p>
    <w:p>
      <w:pPr>
        <w:pStyle w:val="Heading1"/>
      </w:pPr>
      <w:r>
        <w:t>2. 本机环境核查与技术决策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50"/>
        <w:gridCol w:w="3600"/>
        <w:gridCol w:w="401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已核查现状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P0 决策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GPU/内存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RTX 5060 Ti 16GB；系统内存约32GB</w:t>
            </w:r>
          </w:p>
        </w:tc>
        <w:tc>
          <w:tcPr>
            <w:tcW w:type="dxa" w:w="401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不同时常驻两套大模型；按运行配置切换</w:t>
            </w:r>
          </w:p>
        </w:tc>
      </w:tr>
      <w:tr>
        <w:trPr>
          <w:cantSplit w:val="true"/>
        </w:trPr>
        <w:tc>
          <w:tcPr>
            <w:tcW w:type="dxa" w:w="175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Qwen3.6</w:t>
            </w:r>
          </w:p>
        </w:tc>
        <w:tc>
          <w:tcPr>
            <w:tcW w:type="dxa" w:w="36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约19.8GB GGUF；脚本端口8080；带视觉投影</w:t>
            </w:r>
          </w:p>
        </w:tc>
        <w:tc>
          <w:tcPr>
            <w:tcW w:type="dxa" w:w="401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默认 Fast 生产链；新建纯文本脚本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Qwen3.8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约13.4GB GGUF；脚本端口8080；带视觉投影</w:t>
            </w:r>
          </w:p>
        </w:tc>
        <w:tc>
          <w:tcPr>
            <w:tcW w:type="dxa" w:w="401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Smart 困难案例/失败分析；不热切换</w:t>
            </w:r>
          </w:p>
        </w:tc>
      </w:tr>
      <w:tr>
        <w:trPr>
          <w:cantSplit w:val="true"/>
        </w:trPr>
        <w:tc>
          <w:tcPr>
            <w:tcW w:type="dxa" w:w="175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Python</w:t>
            </w:r>
          </w:p>
        </w:tc>
        <w:tc>
          <w:tcPr>
            <w:tcW w:type="dxa" w:w="36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E:\Anaconda\envs\torch128\python.exe；Python 3.12.13</w:t>
            </w:r>
          </w:p>
        </w:tc>
        <w:tc>
          <w:tcPr>
            <w:tcW w:type="dxa" w:w="401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继续复用该环境，新增并锁定项目依赖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C++</w:t>
            </w:r>
          </w:p>
        </w:tc>
        <w:tc>
          <w:tcPr>
            <w:tcW w:type="dxa" w:w="36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MSVC 19.51、CMake 4.3.1、Ninja 可用</w:t>
            </w:r>
          </w:p>
        </w:tc>
        <w:tc>
          <w:tcPr>
            <w:tcW w:type="dxa" w:w="401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C++17 + CMake + CTest</w:t>
            </w:r>
          </w:p>
        </w:tc>
      </w:tr>
      <w:tr>
        <w:trPr>
          <w:cantSplit w:val="true"/>
        </w:trPr>
        <w:tc>
          <w:tcPr>
            <w:tcW w:type="dxa" w:w="175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容器</w:t>
            </w:r>
          </w:p>
        </w:tc>
        <w:tc>
          <w:tcPr>
            <w:tcW w:type="dxa" w:w="36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Docker Desktop 已安装，Engine 当前未启动</w:t>
            </w:r>
          </w:p>
        </w:tc>
        <w:tc>
          <w:tcPr>
            <w:tcW w:type="dxa" w:w="401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实施数据库/RAG前启动；模型服务保留在Windows</w:t>
            </w:r>
          </w:p>
        </w:tc>
      </w:tr>
    </w:tbl>
    <w:p>
      <w:pPr>
        <w:spacing w:after="20"/>
      </w:pPr>
    </w:p>
    <w:p>
      <w:pPr>
        <w:pStyle w:val="Heading2"/>
      </w:pPr>
      <w:r>
        <w:t>2.1 双模型使用方式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700"/>
        <w:gridCol w:w="3830"/>
        <w:gridCol w:w="38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Qwen3.6 Fast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Qwen3.8 Smart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定位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 默认运行与完整60例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困难规划和失败分析对照</w:t>
            </w:r>
          </w:p>
        </w:tc>
      </w:tr>
      <w:tr>
        <w:trPr>
          <w:cantSplit w:val="true"/>
        </w:trPr>
        <w:tc>
          <w:tcPr>
            <w:tcW w:type="dxa" w:w="1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上下文</w:t>
            </w:r>
          </w:p>
        </w:tc>
        <w:tc>
          <w:tcPr>
            <w:tcW w:type="dxa" w:w="383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先8K，必要时12K</w:t>
            </w:r>
          </w:p>
        </w:tc>
        <w:tc>
          <w:tcPr>
            <w:tcW w:type="dxa" w:w="383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先12K，必要时16K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推理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reasoning off；温度0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Planner/Replanner有限思考预算；温度0</w:t>
            </w:r>
          </w:p>
        </w:tc>
      </w:tr>
      <w:tr>
        <w:trPr>
          <w:cantSplit w:val="true"/>
        </w:trPr>
        <w:tc>
          <w:tcPr>
            <w:tcW w:type="dxa" w:w="1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切换</w:t>
            </w:r>
          </w:p>
        </w:tc>
        <w:tc>
          <w:tcPr>
            <w:tcW w:type="dxa" w:w="383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一次运行只加载一种模型</w:t>
            </w:r>
          </w:p>
        </w:tc>
        <w:tc>
          <w:tcPr>
            <w:tcW w:type="dxa" w:w="383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通过LLM_PROFILE和alias切换，不在节点间重载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报告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记录实际GGUF文件、量化、哈希</w:t>
            </w:r>
          </w:p>
        </w:tc>
        <w:tc>
          <w:tcPr>
            <w:tcW w:type="dxa" w:w="383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记录实际GGUF文件、量化、哈希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7ED"/>
          <w:left w:val="single" w:sz="0" w:space="0" w:color="FFF7ED"/>
          <w:bottom w:val="single" w:sz="0" w:space="0" w:color="FFF7ED"/>
          <w:right w:val="single" w:sz="0" w:space="0" w:color="FFF7ED"/>
          <w:insideH w:val="single" w:sz="0" w:space="0" w:color="FFF7ED"/>
          <w:insideV w:val="single" w:sz="0" w:space="0" w:color="FFF7E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7ED" w:val="clear"/>
          </w:tcPr>
          <w:p>
            <w:pPr>
              <w:spacing w:after="80"/>
              <w:pBdr>
                <w:left w:val="single" w:sz="24" w:space="10" w:color="7A5A00"/>
              </w:pBdr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模型表述风险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0"/>
              </w:rPr>
              <w:t>当前 Qwen3.6 文件名包含 Uncensored-HauhauCS-Aggressive。README、评测与简历必须记录真实文件名及哈希，不应简写为未经验证的官方原版。</w:t>
            </w:r>
          </w:p>
        </w:tc>
      </w:tr>
    </w:tbl>
    <w:p>
      <w:pPr>
        <w:spacing w:after="20"/>
      </w:pPr>
    </w:p>
    <w:p>
      <w:pPr>
        <w:pStyle w:val="Heading1"/>
      </w:pPr>
      <w:r>
        <w:t>3. P0 总体技术架构</w:t>
      </w:r>
    </w:p>
    <w:p>
      <w:r>
        <w:rPr>
          <w:rFonts w:ascii="Calibri" w:hAnsi="Calibri" w:eastAsia="Microsoft YaHei"/>
        </w:rPr>
        <w:t>主系统由 API/Guard、受控状态图、本地模型网关、RAG、确定性 Validator、白名单 Tool Router、C++ Solver、Python AMR 仿真、PostgreSQL Checkpoint 与评测链组成。LLM 只负责理解、拆解、工具选择和异常处置建议，不拥有绕过权限与确定性约束的路径。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11500"/>
            <wp:docPr id="1" name="Picture 1" title="P0 端到端受控 Agent 架构" descr="自然语言仓储订单经 FastAPI 输入守卫进入 LangGraph 受控状态图，连接本地 Qwen 模型、SOP RAG、任务 DAG Validator、C++ 规划器、Python AMR 仿真、PostgreSQL Checkpoint 与 RBAC/HITL 审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P0 端到端受控 Agent 架构</w:t>
      </w:r>
    </w:p>
    <w:p>
      <w:pPr>
        <w:pStyle w:val="Heading2"/>
      </w:pPr>
      <w:r>
        <w:t>3.1 受控状态图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guard_input：鉴权、长度、注入初筛、场景选择。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understand_goal：自然语言转 TaskContract。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retrieve_context：按用户和文档 ACL 检索 SOP 与设备手册。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plan_tasks：生成带依赖、工具、完成条件、预算和备选策略的 DAG。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validate_plan：检查 Schema、DAG、权限、预算和业务/运动约束。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execute_tool：只调用白名单工具。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verify_observation：核对状态、证据、约束、权限和完成条件。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replan_or_finish：仅替换受影响子图，或结束并生成报告。</w:t>
      </w:r>
    </w:p>
    <w:p>
      <w:pPr>
        <w:numPr>
          <w:ilvl w:val="0"/>
          <w:numId w:val="11"/>
        </w:numPr>
        <w:keepLines/>
      </w:pPr>
      <w:r>
        <w:rPr>
          <w:rFonts w:ascii="Calibri" w:hAnsi="Calibri" w:eastAsia="Microsoft YaHei"/>
        </w:rPr>
        <w:t>persist_trace：保存状态、版本、工具、审批、指标和异常。</w:t>
      </w:r>
    </w:p>
    <w:p>
      <w:pPr>
        <w:pStyle w:val="Heading1"/>
      </w:pPr>
      <w:r>
        <w:t>4. P0 实施 ToDo</w:t>
      </w:r>
    </w:p>
    <w:p>
      <w:r>
        <w:rPr>
          <w:rFonts w:ascii="Calibri" w:hAnsi="Calibri" w:eastAsia="Microsoft YaHei"/>
        </w:rPr>
        <w:t>以下工作包按依赖顺序排列。每项包含实现方法、交付物与验收门槛；只有当前项通过验收后才进入强依赖项。</w:t>
      </w:r>
    </w:p>
    <w:p>
      <w:pPr>
        <w:pStyle w:val="Heading2"/>
      </w:pPr>
      <w:r>
        <w:t>4.1 工作包清单（P0-00～P0-20）</w:t>
      </w:r>
    </w:p>
    <w:p>
      <w:pPr>
        <w:pStyle w:val="Heading3"/>
        <w:keepNext/>
      </w:pPr>
      <w:r>
        <w:t>P0-00  冻结场景与停止条件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前置依赖：无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固定30×20二维栅格、4台同构差速AMR、6取货点、6交付点、2充电站。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订单只包含 pickup-transport-dropoff、优先级、发布时间、截止时间和前置关系。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用变更记录管理范围；P1/P2能力不得临时进入主链。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scope.md、地图JSON、AMR/订单种子数据、Backlog。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所有人可明确说出什么做、什么不做；示例数据通过Schema。</w:t>
      </w:r>
    </w:p>
    <w:p>
      <w:pPr>
        <w:pStyle w:val="Heading3"/>
        <w:keepNext/>
      </w:pPr>
      <w:r>
        <w:t>P0-01  建立工程骨架与依赖锁定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前置依赖：P0-00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建立apps、agent、domains、services、evals、infra、tests和docs目录。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复用torch128 Python环境；安装并锁定FastAPI、LangGraph、Postgres/Qdrant等项目依赖。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建立CMake顶层工程、CTest入口、配置分层和结构化日志。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可启动的Python/C++空工程、依赖锁文件、环境检查脚本。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Python与C++冒烟测试均通过；环境版本可一条命令输出。</w:t>
      </w:r>
    </w:p>
    <w:p>
      <w:pPr>
        <w:pStyle w:val="Heading3"/>
        <w:keepNext/>
      </w:pPr>
      <w:r>
        <w:t>P0-02  建立纯文本 Qwen 启动配置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前置依赖：P0-01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保留现有vision脚本，新建qwen3.6-agent和qwen3.8-agent副本并移除mmproj。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添加明确alias、metrics、parallel=1；上下文从8K/12K开始。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模型身份、量化、上下文、采样和真实文件哈希进入运行元数据。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两套文本启动脚本、模型配置说明、健康检查。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/health和/v1/models正确；20次结构化请求无进程崩溃。</w:t>
      </w:r>
    </w:p>
    <w:p>
      <w:pPr>
        <w:pStyle w:val="Heading3"/>
        <w:keepNext/>
      </w:pPr>
      <w:r>
        <w:t>P0-03  实现统一模型网关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前置依赖：P0-02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使用OpenAI兼容接口封装ModelProvider，支持fast/smart配置但一次运行只加载一种。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加入连接超时、生成超时、一次Schema修复、模型alias校验与版本记录。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不启用llama.cpp内置文件、Shell或Agent工具。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ModelProvider、健康检查、结构化输出契约测试。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业务层不感知GGUF运行细节；错误alias会拒绝启动。</w:t>
      </w:r>
    </w:p>
    <w:p>
      <w:pPr>
        <w:pStyle w:val="Heading3"/>
        <w:keepNext/>
      </w:pPr>
      <w:r>
        <w:t>P0-04  定义领域数据契约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前置依赖：P0-00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定义TaskContract、AMRState、TransportOrder、PlanTask、ToolSpec、ToolResult、Observation和RunState。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每个PlanTask保存依赖、工具参数、前置/完成条件、时间/电量预算、风险、审批和备选策略。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为所有模型导出JSON Schema并准备正反例。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Pydantic模型、JSON Schema、示例与Schema测试。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缺字段、循环依赖、非法坐标、未知工具和越权参数均被拒绝。</w:t>
      </w:r>
    </w:p>
    <w:p>
      <w:pPr>
        <w:pStyle w:val="Heading3"/>
        <w:keepNext/>
      </w:pPr>
      <w:r>
        <w:t>P0-05  完成 Context Engineering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前置依赖：P0-03、P0-04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按节点拆分Prompt：目标理解、规划、观察验证、局部重规划和报告。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仅传状态摘要、相关SOP、当前子任务及必要工具结果，不重复完整轨迹。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设置输入/输出Token、工具步数、总时长和重规划预算。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Prompt模板、版本号、状态摘要器、Token预算策略。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每个节点可单独测试；超预算必定转Fallback或人工。</w:t>
      </w:r>
    </w:p>
    <w:p>
      <w:pPr>
        <w:pStyle w:val="Heading3"/>
        <w:keepNext/>
      </w:pPr>
      <w:r>
        <w:t>P0-06  搭建 API 与 PostgreSQL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前置依赖：P0-01、P0-04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建立runs、plans、tasks、tool_calls、effects、approvals、events和documents表。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实现运行创建/查询、计划查询、SSE事件、审批、文档上传和评测启动接口。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关键状态采用事务更新；业务状态不只保存在内存。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FastAPI、迁移脚本、数据库仓储层、接口测试。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创建、查询、审批、恢复和文档接口通过集成测试。</w:t>
      </w:r>
    </w:p>
    <w:p>
      <w:pPr>
        <w:pStyle w:val="Heading3"/>
        <w:keepNext/>
      </w:pPr>
      <w:r>
        <w:t>P0-07  实现仓储 SOP RAG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前置依赖：P0-01、P0-04、P0-06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文档按章节切块并保存doc_id、section、version、role_scope、source和checksum。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本地Embedding + Qdrant完成向量检索，进程内BM25完成关键词检索。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归一化融合后返回Top-K引用；无充分证据时拒答；P0不做Reranker。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索引器、混合检索器、ACL过滤器、20个RAG评测样例。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Recall@K、MRR和引用正确率可计算；跨角色泄漏0次。</w:t>
      </w:r>
    </w:p>
    <w:p>
      <w:pPr>
        <w:pStyle w:val="Heading3"/>
        <w:keepNext/>
      </w:pPr>
      <w:r>
        <w:t>P0-08  C++ Hungarian 任务分配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前置依赖：P0-04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代价包含到取货点距离、迟到风险、优先级、电量风险和当前负载。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不可行机器人-订单组合使用INF并返回明确原因。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最近空闲AMR作为基线，不与生产算法混写。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task_allocator库/可执行程序、JSON契约、CTest。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正常、低电量、无可行分配和订单多于车辆测试通过。</w:t>
      </w:r>
    </w:p>
    <w:p>
      <w:pPr>
        <w:pStyle w:val="Heading3"/>
        <w:keepNext/>
      </w:pPr>
      <w:r>
        <w:t>P0-09  C++ A* 与时空预约表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前置依赖：P0-04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A*状态采用(x,y,heading,t)，代价包含移动、转向和等待。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按任务优先级规划，用(cell,t)和(edge,t)预约阻止顶点/交换边冲突。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Dijkstra只作为正确性基线；失败时返回不可行而非输出不安全路径。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route_planner、Dijkstra基线、冲突测试和性能测试。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路径不越界/穿障；顶点与交换边冲突0次；结果可复现。</w:t>
      </w:r>
    </w:p>
    <w:p>
      <w:pPr>
        <w:pStyle w:val="Heading3"/>
        <w:keepNext/>
      </w:pPr>
      <w:r>
        <w:t>P0-10  C++ 车队计划验证器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前置依赖：P0-04、P0-08、P0-09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检查任务依赖、时间窗、载荷、电量余量、禁行区、工位容量、安全距离和路径冲突。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稳定错误码携带任务、机器人、坐标、时间和违反约束的证据。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LLM不能通过Prompt绕过验证器。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fleet_plan_validator、错误字典、正反例CTest。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每类非法计划均被识别并定位；合法计划稳定通过。</w:t>
      </w:r>
    </w:p>
    <w:p>
      <w:pPr>
        <w:pStyle w:val="Heading3"/>
        <w:keepNext/>
      </w:pPr>
      <w:r>
        <w:t>P0-11  Python AMR 离散事件仿真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前置依赖：P0-04、P0-09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实现IDLE、TO_PICKUP、LOADING、TO_DROPOFF、UNLOADING、TO_CHARGE、CHARGING和OFFLINE状态。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固定时间步推进位置、电量、订单、工位和充电站。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故障注入只向评测框架开放，不进入正常Agent工具清单。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仿真器、事件日志、地图/种子、故障注入接口。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相同种子完全复现；状态变化与计划时间戳一致。</w:t>
      </w:r>
    </w:p>
    <w:p>
      <w:pPr>
        <w:pStyle w:val="Heading3"/>
        <w:keepNext/>
      </w:pPr>
      <w:r>
        <w:t>P0-12  实现 9 个白名单工具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前置依赖：P0-07～P0-11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实现知识检索、车队状态、任务分配、多车路径、计划验证、派发/仿真、状态查询、验证套件和审批。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每个工具统一ToolSpec、输入/输出Schema、权限、超时、错误类别和审计字段。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Python调用C++时使用固定可执行程序+JSON stdin/stdout，不使用shell=True。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工具注册表、Python/C++适配器、契约测试。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错误参数在执行前失败；超时和重复调用都有确定行为。</w:t>
      </w:r>
    </w:p>
    <w:p>
      <w:pPr>
        <w:pStyle w:val="Heading3"/>
        <w:keepNext/>
      </w:pPr>
      <w:r>
        <w:t>P0-13  跑通 PEVR 正常闭环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前置依赖：P0-05～P0-12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实现guard-understand-retrieve-plan-validate-execute-verify-finish状态图。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Planner生成结构化DAG，确定性Validator通过后Executor才可调用工具。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报告包含引用、计划版本、工具证据、指标和未解决风险。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LangGraph主图、正常订单端到端测试、运行报告。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自然语言订单可完成RAG、规划、C++调用和仿真交付。</w:t>
      </w:r>
    </w:p>
    <w:p>
      <w:pPr>
        <w:pStyle w:val="Heading3"/>
        <w:keepNext/>
      </w:pPr>
      <w:r>
        <w:t>P0-14  Checkpoint、幂等与局部重规划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前置依赖：P0-06、P0-13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副作用幂等键采用run_id+plan_version+task_id；唯一约束写入Effect Ledger。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恢复时先查询外部/仿真状态，再决定继续或补偿。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故障只失效引用相关AMR、通道、工位或工具的未完成子图。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PostgreSQL Checkpoint、Effect Ledger、Replanner和重启测试。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杀进程恢复不重复派发；已完成副作用重复次数为0。</w:t>
      </w:r>
    </w:p>
    <w:p>
      <w:pPr>
        <w:pStyle w:val="Heading3"/>
        <w:keepNext/>
      </w:pPr>
      <w:r>
        <w:t>P0-15  故障分类与终止策略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前置依赖：P0-14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覆盖低电量、AMR离线、通道封闭、工位占用、工具超时、计划不可行和状态冲突。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为每类错误定义retry、replan、fallback、human或fatal处置。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默认最多2次局部重规划，并限制总步数、时长与Token。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错误分类表、恢复策略、故障端到端用例。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不存在无限循环；每类故障均有确定终止条件。</w:t>
      </w:r>
    </w:p>
    <w:p>
      <w:pPr>
        <w:pStyle w:val="Heading3"/>
        <w:keepNext/>
      </w:pPr>
      <w:r>
        <w:t>P0-16  RBAC、HITL 与安全边界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前置依赖：P0-06、P0-12～P0-15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实现viewer/operator两级角色、文档ACL和工具权限。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高优先级覆盖、人工接管和高风险写操作使用interrupt等待审批。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检索文本视为不可信输入；禁止任意代码、SQL、Shell和外部HTTP。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JWT/RBAC、审批节点、注入/越权/绕过测试。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未授权工具、Prompt Injection和审批绕过阻断率100%。</w:t>
      </w:r>
    </w:p>
    <w:p>
      <w:pPr>
        <w:pStyle w:val="Heading3"/>
        <w:keepNext/>
      </w:pPr>
      <w:r>
        <w:t>P0-17  Trace、受控验证与证据报告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前置依赖：P0-12～P0-16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记录trace_id、run_id、node、task、模型/Prompt/工具版本、Token与延迟。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run_verification_suite只运行预注册CTest/pytest/仿真入口。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结构化解析日志并生成JSON/Markdown验证报告。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事件表、结构化日志、验证适配器、报告生成器。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任一失败可定位到节点、工具、参数和证据位置。</w:t>
      </w:r>
    </w:p>
    <w:p>
      <w:pPr>
        <w:pStyle w:val="Heading3"/>
        <w:keepNext/>
      </w:pPr>
      <w:r>
        <w:t>P0-18  构建 60 例自动评测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前置依赖：P0-13～P0-17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25例正常/充电、10例RAG/权限/审批、10例异常重规划、5例测试验证、10例注入/越权。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保存地图、订单、随机种子、模型、量化、Prompt、工具和评测配置版本。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隔离任何未来训练数据，不只保存成功案例。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Eval Harness、60例数据集、JSON/Markdown指标报告。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一条命令运行；碰撞、禁行区进入、低于安全阈值、重复副作用和审批绕过均为0。</w:t>
      </w:r>
    </w:p>
    <w:p>
      <w:pPr>
        <w:pStyle w:val="Heading3"/>
        <w:keepNext/>
      </w:pPr>
      <w:r>
        <w:t>P0-19  完成策略与双模型对照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前置依赖：P0-18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固定Workflow、ReAct和PEVR复用相同工具与任务集；ReAct只做离线对照。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主60例以Qwen3.6 Fast运行；15个困难案例追加Qwen3.8 Smart对照。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报告任务完成、计划合法、恢复、工具错误、步数、Token、P95和资源。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对照实验脚本、原始结果、汇总表与结论。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所有方案使用同一数据/版本；结论可由原始轨迹复核。</w:t>
      </w:r>
    </w:p>
    <w:p>
      <w:pPr>
        <w:pStyle w:val="Heading3"/>
        <w:keepNext/>
      </w:pPr>
      <w:r>
        <w:t>P0-20  部署、文档与演示</w:t>
      </w:r>
    </w:p>
    <w:p>
      <w:pPr>
        <w:pStyle w:val="TaskMeta"/>
        <w:keepNext/>
      </w:pPr>
      <w:r>
        <w:rPr>
          <w:rFonts w:ascii="Calibri" w:hAnsi="Calibri" w:eastAsia="Microsoft YaHei"/>
          <w:color w:val="667085"/>
          <w:sz w:val="18"/>
        </w:rPr>
        <w:t>状态：未开始    |    前置依赖：P0-18、P0-19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Docker Compose启动API、PostgreSQL和Qdrant；模型由Windows文本脚本启动。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补齐README、架构图、API、测试/评测报告和3分钟演示脚本。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  <w:b/>
        </w:rPr>
        <w:t>实现：</w:t>
      </w:r>
      <w:r>
        <w:rPr>
          <w:rFonts w:ascii="Calibri" w:hAnsi="Calibri" w:eastAsia="Microsoft YaHei"/>
        </w:rPr>
        <w:t>只在简历写入已经实测的模型、指标和完成项。</w:t>
      </w:r>
    </w:p>
    <w:p>
      <w:pPr>
        <w:keepNext/>
        <w:keepLines/>
        <w:ind w:left="540"/>
      </w:pPr>
      <w:r>
        <w:rPr>
          <w:rFonts w:ascii="Calibri" w:hAnsi="Calibri" w:eastAsia="Microsoft YaHei"/>
          <w:b/>
        </w:rPr>
        <w:t>交付物：</w:t>
      </w:r>
      <w:r>
        <w:rPr>
          <w:rFonts w:ascii="Calibri" w:hAnsi="Calibri" w:eastAsia="Microsoft YaHei"/>
        </w:rPr>
        <w:t>Compose、启动/健康检查、文档、报告、演示视频。</w:t>
      </w:r>
    </w:p>
    <w:p>
      <w:pPr>
        <w:keepLines/>
        <w:spacing w:after="160"/>
        <w:ind w:left="540"/>
      </w:pPr>
      <w:r>
        <w:rPr>
          <w:rFonts w:ascii="Calibri" w:hAnsi="Calibri" w:eastAsia="Microsoft YaHei"/>
          <w:b/>
        </w:rPr>
        <w:t>验收：</w:t>
      </w:r>
      <w:r>
        <w:rPr>
          <w:rFonts w:ascii="Calibri" w:hAnsi="Calibri" w:eastAsia="Microsoft YaHei"/>
        </w:rPr>
        <w:t>正常闭环连续演示3次；无远程模型依赖；全部指标可复测。</w:t>
      </w:r>
    </w:p>
    <w:p>
      <w:pPr>
        <w:pStyle w:val="Heading1"/>
      </w:pPr>
      <w:r>
        <w:t>5. 核心数据契约与接口</w:t>
      </w:r>
    </w:p>
    <w:p>
      <w:pPr>
        <w:pStyle w:val="Heading2"/>
      </w:pPr>
      <w:r>
        <w:t>5.1 TaskContract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goal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结构化业务目标与订单集合</w:t>
            </w:r>
          </w:p>
        </w:tc>
      </w:tr>
      <w:tr>
        <w:trPr>
          <w:cantSplit w:val="true"/>
        </w:trPr>
        <w:tc>
          <w:tcPr>
            <w:tcW w:type="dxa" w:w="2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environment_ref</w:t>
            </w:r>
          </w:p>
        </w:tc>
        <w:tc>
          <w:tcPr>
            <w:tcW w:type="dxa" w:w="66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地图、车队与工位状态快照版本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constraints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时间窗、载荷、电量、禁行区、优先级和依赖</w:t>
            </w:r>
          </w:p>
        </w:tc>
      </w:tr>
      <w:tr>
        <w:trPr>
          <w:cantSplit w:val="true"/>
        </w:trPr>
        <w:tc>
          <w:tcPr>
            <w:tcW w:type="dxa" w:w="2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completion_criteria</w:t>
            </w:r>
          </w:p>
        </w:tc>
        <w:tc>
          <w:tcPr>
            <w:tcW w:type="dxa" w:w="66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可验证的业务完成条件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risk_level / approval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风险级别、是否需要人工审批</w:t>
            </w:r>
          </w:p>
        </w:tc>
      </w:tr>
      <w:tr>
        <w:trPr>
          <w:cantSplit w:val="true"/>
        </w:trPr>
        <w:tc>
          <w:tcPr>
            <w:tcW w:type="dxa" w:w="27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budgets</w:t>
            </w:r>
          </w:p>
        </w:tc>
        <w:tc>
          <w:tcPr>
            <w:tcW w:type="dxa" w:w="66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总时长、Token、工具步数、重规划次数</w:t>
            </w:r>
          </w:p>
        </w:tc>
      </w:tr>
      <w:tr>
        <w:trPr>
          <w:cantSplit w:val="true"/>
        </w:trPr>
        <w:tc>
          <w:tcPr>
            <w:tcW w:type="dxa" w:w="27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missing_information</w:t>
            </w:r>
          </w:p>
        </w:tc>
        <w:tc>
          <w:tcPr>
            <w:tcW w:type="dxa" w:w="66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执行前仍缺失且必须澄清的信息</w:t>
            </w:r>
          </w:p>
        </w:tc>
      </w:tr>
    </w:tbl>
    <w:p>
      <w:pPr>
        <w:spacing w:after="20"/>
      </w:pPr>
    </w:p>
    <w:p>
      <w:pPr>
        <w:pStyle w:val="Heading2"/>
      </w:pPr>
      <w:r>
        <w:t>5.2 PlanTask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task_id、dependencies、tool_name、tool_arguments。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target_amr、pickup/dropoff/workstation、preconditions、completion_criteria。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time_budget、energy_budget、risk_level、approval_required。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fallback_strategy、status、evidence_refs、effect_id。</w:t>
      </w:r>
    </w:p>
    <w:p>
      <w:pPr>
        <w:pStyle w:val="Heading2"/>
      </w:pPr>
      <w:r>
        <w:t>5.3 P0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900"/>
        <w:gridCol w:w="5460"/>
      </w:tblGrid>
      <w:tr>
        <w:trPr>
          <w:tblHeader w:val="true"/>
          <w:cantSplit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POST /agent/runs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创建一次Agent运行</w:t>
            </w:r>
          </w:p>
        </w:tc>
      </w:tr>
      <w:tr>
        <w:trPr>
          <w:cantSplit w:val="true"/>
        </w:trPr>
        <w:tc>
          <w:tcPr>
            <w:tcW w:type="dxa" w:w="39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GET /agent/runs/{run_id}</w:t>
            </w:r>
          </w:p>
        </w:tc>
        <w:tc>
          <w:tcPr>
            <w:tcW w:type="dxa" w:w="54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查询完整状态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GET /agent/runs/{run_id}/plan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查询DAG、计划版本和子任务状态</w:t>
            </w:r>
          </w:p>
        </w:tc>
      </w:tr>
      <w:tr>
        <w:trPr>
          <w:cantSplit w:val="true"/>
        </w:trPr>
        <w:tc>
          <w:tcPr>
            <w:tcW w:type="dxa" w:w="39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GET /agent/runs/{run_id}/events</w:t>
            </w:r>
          </w:p>
        </w:tc>
        <w:tc>
          <w:tcPr>
            <w:tcW w:type="dxa" w:w="54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SSE流式事件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POST /agent/runs/{run_id}/approve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批准或拒绝高风险步骤</w:t>
            </w:r>
          </w:p>
        </w:tc>
      </w:tr>
      <w:tr>
        <w:trPr>
          <w:cantSplit w:val="true"/>
        </w:trPr>
        <w:tc>
          <w:tcPr>
            <w:tcW w:type="dxa" w:w="39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POST /documents</w:t>
            </w:r>
          </w:p>
        </w:tc>
        <w:tc>
          <w:tcPr>
            <w:tcW w:type="dxa" w:w="54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上传、切块和索引SOP/设备手册</w:t>
            </w:r>
          </w:p>
        </w:tc>
      </w:tr>
      <w:tr>
        <w:trPr>
          <w:cantSplit w:val="true"/>
        </w:trPr>
        <w:tc>
          <w:tcPr>
            <w:tcW w:type="dxa" w:w="39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GET /documents/{document_id}</w:t>
            </w:r>
          </w:p>
        </w:tc>
        <w:tc>
          <w:tcPr>
            <w:tcW w:type="dxa" w:w="54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查询文档和索引状态</w:t>
            </w:r>
          </w:p>
        </w:tc>
      </w:tr>
      <w:tr>
        <w:trPr>
          <w:cantSplit w:val="true"/>
        </w:trPr>
        <w:tc>
          <w:tcPr>
            <w:tcW w:type="dxa" w:w="39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POST /evals/runs</w:t>
            </w:r>
          </w:p>
        </w:tc>
        <w:tc>
          <w:tcPr>
            <w:tcW w:type="dxa" w:w="54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启动离线评测</w:t>
            </w:r>
          </w:p>
        </w:tc>
      </w:tr>
    </w:tbl>
    <w:p>
      <w:pPr>
        <w:spacing w:after="20"/>
      </w:pPr>
    </w:p>
    <w:p>
      <w:pPr>
        <w:pStyle w:val="Heading1"/>
      </w:pPr>
      <w:r>
        <w:t>6. C++ 与仿真实现细节</w:t>
      </w:r>
    </w:p>
    <w:p>
      <w:pPr>
        <w:pStyle w:val="Heading2"/>
      </w:pPr>
      <w:r>
        <w:t>6.1 跨语言边界</w:t>
      </w:r>
    </w:p>
    <w:p>
      <w:r>
        <w:rPr>
          <w:rFonts w:ascii="Calibri" w:hAnsi="Calibri" w:eastAsia="Microsoft YaHei"/>
        </w:rPr>
        <w:t>P0 不引入 gRPC 或 pybind11。Python 通过固定 C++ 可执行程序的 JSON stdin/stdout 契约调用算法，使用固定工作目录、无 shell、有限超时和稳定退出码。这样能够形成真实 C++ 调用链，同时控制构建与安全复杂度。</w:t>
      </w:r>
    </w:p>
    <w:p>
      <w:pPr>
        <w:pStyle w:val="Heading2"/>
      </w:pPr>
      <w:r>
        <w:t>6.2 Hungarian 代价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EEF5"/>
          <w:left w:val="single" w:sz="0" w:space="0" w:color="E8EEF5"/>
          <w:bottom w:val="single" w:sz="0" w:space="0" w:color="E8EEF5"/>
          <w:right w:val="single" w:sz="0" w:space="0" w:color="E8EEF5"/>
          <w:insideH w:val="single" w:sz="0" w:space="0" w:color="E8EEF5"/>
          <w:insideV w:val="single" w:sz="0" w:space="0" w:color="E8EEF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 w:val="clear"/>
          </w:tcPr>
          <w:p>
            <w:pPr>
              <w:spacing w:after="80"/>
              <w:pBdr>
                <w:left w:val="single" w:sz="24" w:space="10" w:color="2E74B5"/>
              </w:pBdr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代价模型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0"/>
              </w:rPr>
              <w:t>C(i,j) = wd·distance + wt·lateness_risk + wb·battery_risk + wl·load_penalty - wp·priority_bonus。不可行组合使用 INF，并在结果中返回原因。</w:t>
            </w:r>
          </w:p>
        </w:tc>
      </w:tr>
    </w:tbl>
    <w:p>
      <w:pPr>
        <w:spacing w:after="20"/>
      </w:pPr>
    </w:p>
    <w:p>
      <w:pPr>
        <w:pStyle w:val="Heading2"/>
      </w:pPr>
      <w:r>
        <w:t>6.3 A* 与预约表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节点为(x, y, heading, t)，动作包含前进、转向和等待。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启发式使用曼哈顿距离；g代价包含移动、转向和等待。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预约(cell,t)防止顶点冲突；预约(edge,t)防止两车交换边冲突。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按订单紧急度排序；失败时可调整顺序或返回不可行，不允许忽略冲突。</w:t>
      </w:r>
    </w:p>
    <w:p>
      <w:pPr>
        <w:pStyle w:val="Heading2"/>
      </w:pPr>
      <w:r>
        <w:t>6.4 局部重规划</w:t>
      </w:r>
    </w:p>
    <w:p>
      <w:r>
        <w:rPr>
          <w:rFonts w:ascii="Calibri" w:hAnsi="Calibri" w:eastAsia="Microsoft YaHei"/>
        </w:rPr>
        <w:t>Verifier根据异常实体构造影响集合：故障AMR、封闭单元格/边、占用工位、失败工具及其下游未完成任务。Replanner仅废弃引用这些实体的未完成节点，保留已完成节点和Effect Ledger，计划版本加一后重新验证。</w:t>
      </w:r>
    </w:p>
    <w:p>
      <w:pPr>
        <w:pStyle w:val="Heading1"/>
      </w:pPr>
      <w:r>
        <w:t>7. 测试、评测与安全门槛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指标组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必须报告内容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模型/工具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Schema通过率、工具选择/参数正确率、Token、TTFT、吞吐、峰值资源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Agent</w:t>
            </w:r>
          </w:p>
        </w:tc>
        <w:tc>
          <w:tcPr>
            <w:tcW w:type="dxa" w:w="72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DAG合法率、端到端完成率、局部恢复率、循环率、中断恢复率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RAG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Recall@K、MRR、引用正确率、拒答率、ACL泄漏次数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AMR</w:t>
            </w:r>
          </w:p>
        </w:tc>
        <w:tc>
          <w:tcPr>
            <w:tcW w:type="dxa" w:w="72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订单/按时完成率、路程、空驶、利用率、规划均值/P95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安全</w:t>
            </w:r>
          </w:p>
        </w:tc>
        <w:tc>
          <w:tcPr>
            <w:tcW w:type="dxa" w:w="72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碰撞、禁行区进入、低电量越界、越权、审批绕过、重复副作用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验证</w:t>
            </w:r>
          </w:p>
        </w:tc>
        <w:tc>
          <w:tcPr>
            <w:tcW w:type="dxa" w:w="72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测试选择、日志分类、证据定位、报告与真实结果一致率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EF2F2"/>
          <w:left w:val="single" w:sz="0" w:space="0" w:color="FEF2F2"/>
          <w:bottom w:val="single" w:sz="0" w:space="0" w:color="FEF2F2"/>
          <w:right w:val="single" w:sz="0" w:space="0" w:color="FEF2F2"/>
          <w:insideH w:val="single" w:sz="0" w:space="0" w:color="FEF2F2"/>
          <w:insideV w:val="single" w:sz="0" w:space="0" w:color="FEF2F2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EF2F2" w:val="clear"/>
          </w:tcPr>
          <w:p>
            <w:pPr>
              <w:spacing w:after="80"/>
              <w:pBdr>
                <w:left w:val="single" w:sz="24" w:space="10" w:color="9B1C1C"/>
              </w:pBdr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P0 硬性零容忍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11827"/>
                <w:sz w:val="20"/>
              </w:rPr>
              <w:t>顶点/边碰撞、禁行区进入、电量低于安全阈值、跨角色文档泄漏、审批绕过和重复副作用均必须为0。其他准确率、延迟和提升值必须实测后再写入。</w:t>
            </w:r>
          </w:p>
        </w:tc>
      </w:tr>
    </w:tbl>
    <w:p>
      <w:pPr>
        <w:spacing w:after="20"/>
      </w:pPr>
    </w:p>
    <w:p>
      <w:pPr>
        <w:pStyle w:val="Heading1"/>
      </w:pPr>
      <w:r>
        <w:t>8. 2026年8月19日至31日关键路径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2200"/>
        <w:gridCol w:w="53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当天可验收结果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8月19日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P0-00～04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范围、骨架、双模型文本配置、结构化输出基准</w:t>
            </w:r>
          </w:p>
        </w:tc>
      </w:tr>
      <w:tr>
        <w:trPr>
          <w:cantSplit w:val="true"/>
        </w:trPr>
        <w:tc>
          <w:tcPr>
            <w:tcW w:type="dxa" w:w="18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8月20～21日</w:t>
            </w:r>
          </w:p>
        </w:tc>
        <w:tc>
          <w:tcPr>
            <w:tcW w:type="dxa" w:w="22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P0-08～10</w:t>
            </w:r>
          </w:p>
        </w:tc>
        <w:tc>
          <w:tcPr>
            <w:tcW w:type="dxa" w:w="5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C++三个模块、基线算法和CTest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8月22日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P0-11～12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仿真器、Python/C++契约、白名单工具</w:t>
            </w:r>
          </w:p>
        </w:tc>
      </w:tr>
      <w:tr>
        <w:trPr>
          <w:cantSplit w:val="true"/>
        </w:trPr>
        <w:tc>
          <w:tcPr>
            <w:tcW w:type="dxa" w:w="18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8月23～24日</w:t>
            </w:r>
          </w:p>
        </w:tc>
        <w:tc>
          <w:tcPr>
            <w:tcW w:type="dxa" w:w="22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P0-05～07、13</w:t>
            </w:r>
          </w:p>
        </w:tc>
        <w:tc>
          <w:tcPr>
            <w:tcW w:type="dxa" w:w="5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RAG、API、数据库和正常业务闭环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8月25日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P0-14～15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Checkpoint、幂等、故障与局部重规划</w:t>
            </w:r>
          </w:p>
        </w:tc>
      </w:tr>
      <w:tr>
        <w:trPr>
          <w:cantSplit w:val="true"/>
        </w:trPr>
        <w:tc>
          <w:tcPr>
            <w:tcW w:type="dxa" w:w="18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8月26日</w:t>
            </w:r>
          </w:p>
        </w:tc>
        <w:tc>
          <w:tcPr>
            <w:tcW w:type="dxa" w:w="22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P0-16</w:t>
            </w:r>
          </w:p>
        </w:tc>
        <w:tc>
          <w:tcPr>
            <w:tcW w:type="dxa" w:w="5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ACL、RBAC、审批与安全边界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8月27日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P0-17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受控测试、日志解析、证据报告</w:t>
            </w:r>
          </w:p>
        </w:tc>
      </w:tr>
      <w:tr>
        <w:trPr>
          <w:cantSplit w:val="true"/>
        </w:trPr>
        <w:tc>
          <w:tcPr>
            <w:tcW w:type="dxa" w:w="18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8月28日</w:t>
            </w:r>
          </w:p>
        </w:tc>
        <w:tc>
          <w:tcPr>
            <w:tcW w:type="dxa" w:w="22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P0-18（40例）</w:t>
            </w:r>
          </w:p>
        </w:tc>
        <w:tc>
          <w:tcPr>
            <w:tcW w:type="dxa" w:w="5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安全、权限、异常用例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8月29日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P0-18～19（60例）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完整评测、策略与双模型对照</w:t>
            </w:r>
          </w:p>
        </w:tc>
      </w:tr>
      <w:tr>
        <w:trPr>
          <w:cantSplit w:val="true"/>
        </w:trPr>
        <w:tc>
          <w:tcPr>
            <w:tcW w:type="dxa" w:w="18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8月30日</w:t>
            </w:r>
          </w:p>
        </w:tc>
        <w:tc>
          <w:tcPr>
            <w:tcW w:type="dxa" w:w="22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P0-20</w:t>
            </w:r>
          </w:p>
        </w:tc>
        <w:tc>
          <w:tcPr>
            <w:tcW w:type="dxa" w:w="5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部署、README、API/评测文档和视频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8月31日</w:t>
            </w:r>
          </w:p>
        </w:tc>
        <w:tc>
          <w:tcPr>
            <w:tcW w:type="dxa" w:w="22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冻结发布</w:t>
            </w:r>
          </w:p>
        </w:tc>
        <w:tc>
          <w:tcPr>
            <w:tcW w:type="dxa" w:w="5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复测、冻结指标、只写已验证简历事实</w:t>
            </w:r>
          </w:p>
        </w:tc>
      </w:tr>
    </w:tbl>
    <w:p>
      <w:pPr>
        <w:spacing w:after="20"/>
      </w:pPr>
    </w:p>
    <w:p>
      <w:pPr>
        <w:pStyle w:val="Heading1"/>
      </w:pPr>
      <w:r>
        <w:t>9. P0 Definition of Done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5860"/>
        <w:gridCol w:w="140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完成定义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级别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本地性</w:t>
            </w:r>
          </w:p>
        </w:tc>
        <w:tc>
          <w:tcPr>
            <w:tcW w:type="dxa" w:w="5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全部Agent生成无远程模型依赖</w:t>
            </w:r>
          </w:p>
        </w:tc>
        <w:tc>
          <w:tcPr>
            <w:tcW w:type="dxa" w:w="1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模型身份</w:t>
            </w:r>
          </w:p>
        </w:tc>
        <w:tc>
          <w:tcPr>
            <w:tcW w:type="dxa" w:w="5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运行前校验alias；报告保存GGUF、量化和哈希</w:t>
            </w:r>
          </w:p>
        </w:tc>
        <w:tc>
          <w:tcPr>
            <w:tcW w:type="dxa" w:w="1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主闭环</w:t>
            </w:r>
          </w:p>
        </w:tc>
        <w:tc>
          <w:tcPr>
            <w:tcW w:type="dxa" w:w="5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自然语言→RAG→DAG→C++→仿真→验证→报告</w:t>
            </w:r>
          </w:p>
        </w:tc>
        <w:tc>
          <w:tcPr>
            <w:tcW w:type="dxa" w:w="1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稳定演示</w:t>
            </w:r>
          </w:p>
        </w:tc>
        <w:tc>
          <w:tcPr>
            <w:tcW w:type="dxa" w:w="5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正常闭环连续成功3次</w:t>
            </w:r>
          </w:p>
        </w:tc>
        <w:tc>
          <w:tcPr>
            <w:tcW w:type="dxa" w:w="1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异常</w:t>
            </w:r>
          </w:p>
        </w:tc>
        <w:tc>
          <w:tcPr>
            <w:tcW w:type="dxa" w:w="5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低电量、离线、封路、超时、不可行均有确定处置</w:t>
            </w:r>
          </w:p>
        </w:tc>
        <w:tc>
          <w:tcPr>
            <w:tcW w:type="dxa" w:w="1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恢复</w:t>
            </w:r>
          </w:p>
        </w:tc>
        <w:tc>
          <w:tcPr>
            <w:tcW w:type="dxa" w:w="5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Checkpoint恢复不重复副作用</w:t>
            </w:r>
          </w:p>
        </w:tc>
        <w:tc>
          <w:tcPr>
            <w:tcW w:type="dxa" w:w="1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安全</w:t>
            </w:r>
          </w:p>
        </w:tc>
        <w:tc>
          <w:tcPr>
            <w:tcW w:type="dxa" w:w="5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越权、注入和审批绕过被确定性阻断</w:t>
            </w:r>
          </w:p>
        </w:tc>
        <w:tc>
          <w:tcPr>
            <w:tcW w:type="dxa" w:w="1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评测</w:t>
            </w:r>
          </w:p>
        </w:tc>
        <w:tc>
          <w:tcPr>
            <w:tcW w:type="dxa" w:w="5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60例一条命令运行并输出机器可读报告</w:t>
            </w:r>
          </w:p>
        </w:tc>
        <w:tc>
          <w:tcPr>
            <w:tcW w:type="dxa" w:w="1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材料</w:t>
            </w:r>
          </w:p>
        </w:tc>
        <w:tc>
          <w:tcPr>
            <w:tcW w:type="dxa" w:w="5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README、架构图、API、测试/评测报告、3分钟视频</w:t>
            </w:r>
          </w:p>
        </w:tc>
        <w:tc>
          <w:tcPr>
            <w:tcW w:type="dxa" w:w="14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21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简历</w:t>
            </w:r>
          </w:p>
        </w:tc>
        <w:tc>
          <w:tcPr>
            <w:tcW w:type="dxa" w:w="5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只写已经实现且有实测证据的指标</w:t>
            </w:r>
          </w:p>
        </w:tc>
        <w:tc>
          <w:tcPr>
            <w:tcW w:type="dxa" w:w="14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必须</w:t>
            </w:r>
          </w:p>
        </w:tc>
      </w:tr>
    </w:tbl>
    <w:p>
      <w:pPr>
        <w:spacing w:after="20"/>
      </w:pPr>
    </w:p>
    <w:p>
      <w:pPr>
        <w:pStyle w:val="Heading1"/>
      </w:pPr>
      <w:r>
        <w:t>10. 降级与止损规则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自动Tool Calling不稳：改用受约束Action{tool_name, arguments}，由应用层白名单派发。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Qdrant阻塞：开发期临时使用进程内向量索引，但P0最终验收前恢复Qdrant。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Docker阻塞：先以本机进程跑通接口；不删除PostgreSQL持久化的最终门槛。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时间不足：先删除UI、SSE、精细仪表盘和ReAct展示；不删除结构化计划、确定性验证、异常恢复、评测和安全边界。</w:t>
      </w:r>
    </w:p>
    <w:p>
      <w:pPr>
        <w:numPr>
          <w:ilvl w:val="0"/>
          <w:numId w:val="10"/>
        </w:numPr>
        <w:keepLines/>
      </w:pPr>
      <w:r>
        <w:rPr>
          <w:rFonts w:ascii="Calibri" w:hAnsi="Calibri" w:eastAsia="Microsoft YaHei"/>
        </w:rPr>
        <w:t>模型速度不足：缩短上下文、状态摘要、并发1和输出预算；不偷偷更换MiniCPM或远程模型。</w:t>
      </w:r>
    </w:p>
    <w:p>
      <w:pPr>
        <w:pStyle w:val="Heading1"/>
      </w:pPr>
      <w:r>
        <w:t>附录 A：推荐代码结构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300"/>
        <w:gridCol w:w="6060"/>
      </w:tblGrid>
      <w:tr>
        <w:trPr>
          <w:tblHeader w:val="true"/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apps/api/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FastAPI、认证、SSE和运行接口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agent/runtime/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LangGraph节点、边、状态、Checkpoint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agent/planning/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TaskContract、Planner、Validator、Replanner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agent/tools/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ToolSpec、注册表、权限、超时、幂等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domains/amr_warehouse/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地图、订单、AMR状态和领域约束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services/model_gateway/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本地模型Provider、Prompt和版本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services/retrieval/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Embedding、BM25、Qdrant、ACL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services/planner_cpp/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任务分配、路径和计划验证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services/amr_simulator/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离散事件仿真与故障注入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services/validation/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受控CTest/pytest/仿真和报告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evals/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正常、异常、权限、安全和对照实验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infra/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Compose、模型脚本、健康检查</w:t>
            </w:r>
          </w:p>
        </w:tc>
      </w:tr>
      <w:tr>
        <w:trPr>
          <w:cantSplit w:val="true"/>
        </w:trPr>
        <w:tc>
          <w:tcPr>
            <w:tcW w:type="dxa" w:w="33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tests/</w:t>
            </w:r>
          </w:p>
        </w:tc>
        <w:tc>
          <w:tcPr>
            <w:tcW w:type="dxa" w:w="60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单元、契约、集成、端到端</w:t>
            </w:r>
          </w:p>
        </w:tc>
      </w:tr>
      <w:tr>
        <w:trPr>
          <w:cantSplit w:val="true"/>
        </w:trPr>
        <w:tc>
          <w:tcPr>
            <w:tcW w:type="dxa" w:w="33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8"/>
              </w:rPr>
              <w:t>docs/</w:t>
            </w:r>
          </w:p>
        </w:tc>
        <w:tc>
          <w:tcPr>
            <w:tcW w:type="dxa" w:w="60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架构、API、评测和演示脚本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B：项目依赖清单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依赖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已存在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torch、pydantic、pytest、SQLAlchemy、sentence-transformers、networkx、numpy、scipy</w:t>
            </w:r>
          </w:p>
        </w:tc>
      </w:tr>
      <w:tr>
        <w:trPr>
          <w:cantSplit w:val="true"/>
        </w:trPr>
        <w:tc>
          <w:tcPr>
            <w:tcW w:type="dxa" w:w="20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实施时新增</w:t>
            </w:r>
          </w:p>
        </w:tc>
        <w:tc>
          <w:tcPr>
            <w:tcW w:type="dxa" w:w="7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fastapi、uvicorn、langgraph、langgraph-checkpoint-postgres、psycopg、qdrant-client、openai、rank-bm25、jieba、PyJWT、structlog、sse-starlette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C++</w:t>
            </w:r>
          </w:p>
        </w:tc>
        <w:tc>
          <w:tcPr>
            <w:tcW w:type="dxa" w:w="73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MSVC、CMake、Ninja已存在；固定版本引入nlohmann/json；CTest不额外引入测试框架</w:t>
            </w:r>
          </w:p>
        </w:tc>
      </w:tr>
      <w:tr>
        <w:trPr>
          <w:cantSplit w:val="true"/>
        </w:trPr>
        <w:tc>
          <w:tcPr>
            <w:tcW w:type="dxa" w:w="20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7"/>
              </w:rPr>
              <w:t>外部服务</w:t>
            </w:r>
          </w:p>
        </w:tc>
        <w:tc>
          <w:tcPr>
            <w:tcW w:type="dxa" w:w="73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PostgreSQL、Qdrant由Docker Compose启动；Docker Engine须先运行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C：来源与本机事实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2545" w:val="clea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本地路径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Agent知识图谱</w:t>
            </w:r>
          </w:p>
        </w:tc>
        <w:tc>
          <w:tcPr>
            <w:tcW w:type="dxa" w:w="6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C:\Users\QYC\Downloads\Agent全链路知识图谱与旗舰项目学习路线.pdf</w:t>
            </w:r>
          </w:p>
        </w:tc>
      </w:tr>
      <w:tr>
        <w:trPr>
          <w:cantSplit w:val="true"/>
        </w:trPr>
        <w:tc>
          <w:tcPr>
            <w:tcW w:type="dxa" w:w="25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职业规划总纲</w:t>
            </w:r>
          </w:p>
        </w:tc>
        <w:tc>
          <w:tcPr>
            <w:tcW w:type="dxa" w:w="6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C:\Users\QYC\Downloads\2027秋招与长期职业规划总纲.md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Qwen3.6启动脚本</w:t>
            </w:r>
          </w:p>
        </w:tc>
        <w:tc>
          <w:tcPr>
            <w:tcW w:type="dxa" w:w="6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E:\Llama.cpp\start-qwen3.6-vision.cmd</w:t>
            </w:r>
          </w:p>
        </w:tc>
      </w:tr>
      <w:tr>
        <w:trPr>
          <w:cantSplit w:val="true"/>
        </w:trPr>
        <w:tc>
          <w:tcPr>
            <w:tcW w:type="dxa" w:w="25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Qwen3.8启动脚本</w:t>
            </w:r>
          </w:p>
        </w:tc>
        <w:tc>
          <w:tcPr>
            <w:tcW w:type="dxa" w:w="6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E:\Llama.cpp\start-qwen3.8-vision.cmd</w:t>
            </w:r>
          </w:p>
        </w:tc>
      </w:tr>
      <w:tr>
        <w:trPr>
          <w:cantSplit w:val="true"/>
        </w:trPr>
        <w:tc>
          <w:tcPr>
            <w:tcW w:type="dxa" w:w="250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Python解释器</w:t>
            </w:r>
          </w:p>
        </w:tc>
        <w:tc>
          <w:tcPr>
            <w:tcW w:type="dxa" w:w="6860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E:\Anaconda\envs\torch128\python.exe</w:t>
            </w:r>
          </w:p>
        </w:tc>
      </w:tr>
      <w:tr>
        <w:trPr>
          <w:cantSplit w:val="true"/>
        </w:trPr>
        <w:tc>
          <w:tcPr>
            <w:tcW w:type="dxa" w:w="250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/>
                <w:color w:val="111827"/>
                <w:sz w:val="16"/>
              </w:rPr>
              <w:t>C++工具链</w:t>
            </w:r>
          </w:p>
        </w:tc>
        <w:tc>
          <w:tcPr>
            <w:tcW w:type="dxa" w:w="6860"/>
            <w:shd w:fill="F8FAFC" w:val="clea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E:\BuildingTools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说明：本文件中的日期、范围、工具命名和验收门槛来自上述材料与2026-08-19本机只读核查；性能、准确率和资源指标尚待项目运行后实测。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7"/>
      </w:rPr>
      <w:t xml:space="preserve">P0 实施手册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AMR Agent P0 技术路线</w:t>
    </w:r>
    <w:r>
      <w:rPr>
        <w:rFonts w:ascii="Calibri" w:hAnsi="Calibri" w:eastAsia="Microsoft YaHei"/>
        <w:color w:val="667085"/>
        <w:sz w:val="17"/>
      </w:rPr>
      <w:t xml:space="preserve">    |    受控 Agent × 确定性规划 × 可验证仿真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Meta">
    <w:name w:val="Task Meta"/>
    <w:pPr>
      <w:keepNext/>
      <w:spacing w:after="80"/>
    </w:pPr>
    <w:rPr>
      <w:rFonts w:ascii="Calibri" w:hAnsi="Calibri" w:eastAsia="Microsoft YaHei"/>
      <w:color w:val="667085"/>
      <w:sz w:val="18"/>
    </w:rPr>
  </w:style>
  <w:style w:type="paragraph" w:customStyle="1" w:styleId="TableText">
    <w:name w:val="Table Text"/>
    <w:pPr>
      <w:spacing w:before="0" w:after="0" w:line="276" w:lineRule="auto"/>
    </w:pPr>
    <w:rPr>
      <w:rFonts w:ascii="Calibri" w:hAnsi="Calibr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AMR Agent P0 技术路线与实施 ToDo</dc:title>
  <dc:subject>可验证的多 AMR 仓储作业规划与工具编排 Agent 平台</dc:subject>
  <dc:creator>QYC</dc:creator>
  <cp:keywords>AMR, Agent, P0, LangGraph, Qwen, C++, RAG, Checkpoint</cp:keywords>
  <dc:description>根据职业规划、Agent知识图谱及本机环境核查固化。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