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Wang transform estimates on 290,730 resolved prediction market contracts.</w:t>
      </w:r>
    </w:p>
    <w:p>
      <w:pPr>
        <w:numPr>
          <w:ilvl w:val="0"/>
          <w:numId w:val="1001"/>
        </w:numPr>
      </w:pPr>
      <w:r>
        <w:t xml:space="preserve">Real-money venues yield positive wedges; play-money Manifold yields negative.</w:t>
      </w:r>
    </w:p>
    <w:p>
      <w:pPr>
        <w:numPr>
          <w:ilvl w:val="0"/>
          <w:numId w:val="1001"/>
        </w:numPr>
      </w:pPr>
      <w:r>
        <w:t xml:space="preserve">Sign reversal is robust to alternative price measures and specifications.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2026-04-11T05:26:24Z</dcterms:created>
  <dcterms:modified xsi:type="dcterms:W3CDTF">2026-04-11T05:26:24Z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