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宋体" w:hAnsi="宋体" w:eastAsia="宋体"/>
          <w:b/>
          <w:sz w:val="32"/>
        </w:rPr>
        <w:t>华中科技大学</w:t>
      </w:r>
    </w:p>
    <w:p>
      <w:pPr>
        <w:spacing w:after="280"/>
        <w:jc w:val="center"/>
      </w:pPr>
      <w:r>
        <w:rPr>
          <w:rFonts w:ascii="宋体" w:hAnsi="宋体" w:eastAsia="宋体"/>
          <w:b/>
          <w:sz w:val="36"/>
        </w:rPr>
        <w:t>大学生创新训练项目申报书</w:t>
      </w:r>
    </w:p>
    <w:p>
      <w:pPr>
        <w:spacing w:after="140"/>
        <w:jc w:val="center"/>
      </w:pPr>
      <w:r>
        <w:rPr>
          <w:rFonts w:ascii="宋体" w:hAnsi="宋体" w:eastAsia="宋体"/>
          <w:sz w:val="24"/>
        </w:rPr>
        <w:t>项目名称：</w:t>
      </w:r>
      <w:r>
        <w:rPr>
          <w:rFonts w:ascii="宋体" w:hAnsi="宋体" w:eastAsia="宋体"/>
          <w:sz w:val="24"/>
        </w:rPr>
        <w:t>高比例新能源的电力电量平衡问题</w:t>
      </w:r>
    </w:p>
    <w:p>
      <w:pPr>
        <w:spacing w:after="140"/>
        <w:jc w:val="center"/>
      </w:pPr>
      <w:r>
        <w:rPr>
          <w:rFonts w:ascii="宋体" w:hAnsi="宋体" w:eastAsia="宋体"/>
          <w:sz w:val="24"/>
        </w:rPr>
        <w:t>所属一级学科：</w:t>
      </w:r>
      <w:r>
        <w:rPr>
          <w:rFonts w:ascii="宋体" w:hAnsi="宋体" w:eastAsia="宋体"/>
          <w:sz w:val="24"/>
        </w:rPr>
        <w:t>电气类</w:t>
      </w:r>
    </w:p>
    <w:p>
      <w:pPr>
        <w:spacing w:after="140"/>
        <w:jc w:val="center"/>
      </w:pPr>
      <w:r>
        <w:rPr>
          <w:rFonts w:ascii="宋体" w:hAnsi="宋体" w:eastAsia="宋体"/>
          <w:sz w:val="24"/>
        </w:rPr>
        <w:t>项目负责人：</w:t>
      </w:r>
      <w:r>
        <w:rPr>
          <w:rFonts w:ascii="宋体" w:hAnsi="宋体" w:eastAsia="宋体"/>
          <w:sz w:val="24"/>
        </w:rPr>
        <w:t>何柄初</w:t>
      </w:r>
    </w:p>
    <w:p>
      <w:pPr>
        <w:spacing w:after="140"/>
        <w:jc w:val="center"/>
      </w:pPr>
      <w:r>
        <w:rPr>
          <w:rFonts w:ascii="宋体" w:hAnsi="宋体" w:eastAsia="宋体"/>
          <w:sz w:val="24"/>
        </w:rPr>
        <w:t>专业：</w:t>
      </w:r>
      <w:r>
        <w:rPr>
          <w:rFonts w:ascii="宋体" w:hAnsi="宋体" w:eastAsia="宋体"/>
          <w:sz w:val="24"/>
        </w:rPr>
        <w:t>电气工程及其自动化</w:t>
      </w:r>
    </w:p>
    <w:p>
      <w:pPr>
        <w:spacing w:after="140"/>
        <w:jc w:val="center"/>
      </w:pPr>
      <w:r>
        <w:rPr>
          <w:rFonts w:ascii="宋体" w:hAnsi="宋体" w:eastAsia="宋体"/>
          <w:sz w:val="24"/>
        </w:rPr>
        <w:t>院系：</w:t>
      </w:r>
      <w:r>
        <w:rPr>
          <w:rFonts w:ascii="宋体" w:hAnsi="宋体" w:eastAsia="宋体"/>
          <w:sz w:val="24"/>
        </w:rPr>
        <w:t>电气与电子工程学院</w:t>
      </w:r>
    </w:p>
    <w:p>
      <w:pPr>
        <w:spacing w:after="140"/>
        <w:jc w:val="center"/>
      </w:pPr>
      <w:r>
        <w:rPr>
          <w:rFonts w:ascii="宋体" w:hAnsi="宋体" w:eastAsia="宋体"/>
          <w:sz w:val="24"/>
        </w:rPr>
        <w:t>申请资助经费：</w:t>
      </w:r>
      <w:r>
        <w:rPr>
          <w:rFonts w:ascii="宋体" w:hAnsi="宋体" w:eastAsia="宋体"/>
          <w:sz w:val="24"/>
        </w:rPr>
        <w:t>2500 元</w:t>
      </w:r>
    </w:p>
    <w:p>
      <w:pPr>
        <w:spacing w:after="140"/>
        <w:jc w:val="center"/>
      </w:pPr>
      <w:r>
        <w:rPr>
          <w:rFonts w:ascii="宋体" w:hAnsi="宋体" w:eastAsia="宋体"/>
          <w:sz w:val="24"/>
        </w:rPr>
        <w:t>指导老师：</w:t>
      </w:r>
      <w:r>
        <w:rPr>
          <w:rFonts w:ascii="宋体" w:hAnsi="宋体" w:eastAsia="宋体"/>
          <w:sz w:val="24"/>
        </w:rPr>
        <w:t>娄素华</w:t>
      </w:r>
    </w:p>
    <w:p>
      <w:pPr>
        <w:spacing w:after="140"/>
        <w:jc w:val="center"/>
      </w:pPr>
      <w:r>
        <w:rPr>
          <w:rFonts w:ascii="宋体" w:hAnsi="宋体" w:eastAsia="宋体"/>
          <w:sz w:val="24"/>
        </w:rPr>
        <w:t>导师所在单位：</w:t>
      </w:r>
      <w:r>
        <w:rPr>
          <w:rFonts w:ascii="宋体" w:hAnsi="宋体" w:eastAsia="宋体"/>
          <w:sz w:val="24"/>
        </w:rPr>
        <w:t>华中科技大学电气与电子工程学院电力系</w:t>
      </w:r>
    </w:p>
    <w:p>
      <w:pPr>
        <w:spacing w:after="140"/>
        <w:jc w:val="center"/>
      </w:pPr>
      <w:r>
        <w:rPr>
          <w:rFonts w:ascii="宋体" w:hAnsi="宋体" w:eastAsia="宋体"/>
          <w:sz w:val="24"/>
        </w:rPr>
        <w:t>实施起止时间：</w:t>
      </w:r>
      <w:r>
        <w:rPr>
          <w:rFonts w:ascii="宋体" w:hAnsi="宋体" w:eastAsia="宋体"/>
          <w:sz w:val="24"/>
        </w:rPr>
        <w:t>2026.02.01——2027.02.01</w:t>
      </w:r>
    </w:p>
    <w:p>
      <w:pPr>
        <w:spacing w:after="140"/>
        <w:jc w:val="center"/>
      </w:pPr>
      <w:r>
        <w:rPr>
          <w:rFonts w:ascii="宋体" w:hAnsi="宋体" w:eastAsia="宋体"/>
          <w:sz w:val="24"/>
        </w:rPr>
        <w:t>填表时间：</w:t>
      </w:r>
      <w:r>
        <w:rPr>
          <w:rFonts w:ascii="宋体" w:hAnsi="宋体" w:eastAsia="宋体"/>
          <w:sz w:val="24"/>
        </w:rPr>
        <w:t>2026.05.18</w:t>
      </w:r>
    </w:p>
    <w:p>
      <w:pPr>
        <w:spacing w:after="240"/>
        <w:jc w:val="center"/>
      </w:pPr>
      <w:r>
        <w:rPr>
          <w:rFonts w:ascii="宋体" w:hAnsi="宋体" w:eastAsia="宋体"/>
          <w:sz w:val="24"/>
        </w:rPr>
        <w:t>华中科技大学本科生院编制</w:t>
      </w:r>
    </w:p>
    <w:tbl>
      <w:tblPr>
        <w:tblW w:type="auto" w:w="0"/>
        <w:jc w:val="center"/>
        <w:tblLook w:firstColumn="1" w:firstRow="1" w:lastColumn="0" w:lastRow="0" w:noHBand="0" w:noVBand="1" w:val="04A0"/>
      </w:tblPr>
      <w:tblGrid>
        <w:gridCol w:w="9922"/>
      </w:tblGrid>
      <w:tr>
        <w:tc>
          <w:tcPr>
            <w:tcW w:type="dxa" w:w="9922"/>
            <w:tcBorders>
              <w:top w:sz="6" w:val="single" w:color="555555"/>
              <w:left w:sz="6" w:val="single" w:color="555555"/>
              <w:bottom w:sz="6" w:val="single" w:color="555555"/>
              <w:right w:sz="6" w:val="single" w:color="555555"/>
            </w:tcBorders>
            <w:shd w:fill="F2F2F2"/>
            <w:vAlign w:val="center"/>
          </w:tcPr>
          <w:p>
            <w:pPr>
              <w:spacing w:after="0" w:line="252" w:lineRule="auto"/>
              <w:jc w:val="left"/>
            </w:pPr>
            <w:r>
              <w:rPr>
                <w:rFonts w:ascii="宋体" w:hAnsi="宋体" w:eastAsia="宋体"/>
                <w:b/>
                <w:sz w:val="22"/>
              </w:rPr>
              <w:t>一、项目成员</w:t>
            </w:r>
          </w:p>
        </w:tc>
      </w:tr>
    </w:tbl>
    <w:tbl>
      <w:tblPr>
        <w:tblW w:type="auto" w:w="0"/>
        <w:jc w:val="center"/>
        <w:tblLayout w:type="fixed"/>
        <w:tblLook w:firstColumn="1" w:firstRow="1" w:lastColumn="0" w:lastRow="0" w:noHBand="0" w:noVBand="1" w:val="04A0"/>
      </w:tblPr>
      <w:tblGrid>
        <w:gridCol w:w="1417"/>
        <w:gridCol w:w="1417"/>
        <w:gridCol w:w="1417"/>
        <w:gridCol w:w="1417"/>
        <w:gridCol w:w="1417"/>
        <w:gridCol w:w="1417"/>
        <w:gridCol w:w="1417"/>
      </w:tblGrid>
      <w:tr>
        <w:tc>
          <w:tcPr>
            <w:tcW w:type="dxa" w:w="1020"/>
            <w:tcBorders>
              <w:top w:sz="6" w:val="single" w:color="555555"/>
              <w:left w:sz="6" w:val="single" w:color="555555"/>
              <w:bottom w:sz="6" w:val="single" w:color="555555"/>
              <w:right w:sz="6" w:val="single" w:color="555555"/>
            </w:tcBorders>
            <w:vAlign w:val="center"/>
          </w:tcPr>
          <w:p>
            <w:pPr>
              <w:spacing w:after="0" w:line="252" w:lineRule="auto"/>
              <w:jc w:val="center"/>
            </w:pPr>
            <w:r>
              <w:rPr>
                <w:rFonts w:ascii="宋体" w:hAnsi="宋体" w:eastAsia="宋体"/>
                <w:b/>
                <w:sz w:val="16"/>
              </w:rPr>
              <w:t>姓名</w:t>
            </w:r>
          </w:p>
        </w:tc>
        <w:tc>
          <w:tcPr>
            <w:tcW w:type="dxa" w:w="1247"/>
            <w:tcBorders>
              <w:top w:sz="6" w:val="single" w:color="555555"/>
              <w:left w:sz="6" w:val="single" w:color="555555"/>
              <w:bottom w:sz="6" w:val="single" w:color="555555"/>
              <w:right w:sz="6" w:val="single" w:color="555555"/>
            </w:tcBorders>
            <w:vAlign w:val="center"/>
          </w:tcPr>
          <w:p>
            <w:pPr>
              <w:spacing w:after="0" w:line="252" w:lineRule="auto"/>
              <w:jc w:val="center"/>
            </w:pPr>
            <w:r>
              <w:rPr>
                <w:rFonts w:ascii="宋体" w:hAnsi="宋体" w:eastAsia="宋体"/>
                <w:b/>
                <w:sz w:val="16"/>
              </w:rPr>
              <w:t>学号</w:t>
            </w:r>
          </w:p>
        </w:tc>
        <w:tc>
          <w:tcPr>
            <w:tcW w:type="dxa" w:w="567"/>
            <w:tcBorders>
              <w:top w:sz="6" w:val="single" w:color="555555"/>
              <w:left w:sz="6" w:val="single" w:color="555555"/>
              <w:bottom w:sz="6" w:val="single" w:color="555555"/>
              <w:right w:sz="6" w:val="single" w:color="555555"/>
            </w:tcBorders>
            <w:vAlign w:val="center"/>
          </w:tcPr>
          <w:p>
            <w:pPr>
              <w:spacing w:after="0" w:line="252" w:lineRule="auto"/>
              <w:jc w:val="center"/>
            </w:pPr>
            <w:r>
              <w:rPr>
                <w:rFonts w:ascii="宋体" w:hAnsi="宋体" w:eastAsia="宋体"/>
                <w:b/>
                <w:sz w:val="16"/>
              </w:rPr>
              <w:t>年级</w:t>
            </w:r>
          </w:p>
        </w:tc>
        <w:tc>
          <w:tcPr>
            <w:tcW w:type="dxa" w:w="1190"/>
            <w:tcBorders>
              <w:top w:sz="6" w:val="single" w:color="555555"/>
              <w:left w:sz="6" w:val="single" w:color="555555"/>
              <w:bottom w:sz="6" w:val="single" w:color="555555"/>
              <w:right w:sz="6" w:val="single" w:color="555555"/>
            </w:tcBorders>
            <w:vAlign w:val="center"/>
          </w:tcPr>
          <w:p>
            <w:pPr>
              <w:spacing w:after="0" w:line="252" w:lineRule="auto"/>
              <w:jc w:val="center"/>
            </w:pPr>
            <w:r>
              <w:rPr>
                <w:rFonts w:ascii="宋体" w:hAnsi="宋体" w:eastAsia="宋体"/>
                <w:b/>
                <w:sz w:val="16"/>
              </w:rPr>
              <w:t>QQ</w:t>
            </w:r>
          </w:p>
        </w:tc>
        <w:tc>
          <w:tcPr>
            <w:tcW w:type="dxa" w:w="1814"/>
            <w:tcBorders>
              <w:top w:sz="6" w:val="single" w:color="555555"/>
              <w:left w:sz="6" w:val="single" w:color="555555"/>
              <w:bottom w:sz="6" w:val="single" w:color="555555"/>
              <w:right w:sz="6" w:val="single" w:color="555555"/>
            </w:tcBorders>
            <w:vAlign w:val="center"/>
          </w:tcPr>
          <w:p>
            <w:pPr>
              <w:spacing w:after="0" w:line="252" w:lineRule="auto"/>
              <w:jc w:val="center"/>
            </w:pPr>
            <w:r>
              <w:rPr>
                <w:rFonts w:ascii="宋体" w:hAnsi="宋体" w:eastAsia="宋体"/>
                <w:b/>
                <w:sz w:val="16"/>
              </w:rPr>
              <w:t>院系专业</w:t>
            </w:r>
          </w:p>
        </w:tc>
        <w:tc>
          <w:tcPr>
            <w:tcW w:type="dxa" w:w="1134"/>
            <w:tcBorders>
              <w:top w:sz="6" w:val="single" w:color="555555"/>
              <w:left w:sz="6" w:val="single" w:color="555555"/>
              <w:bottom w:sz="6" w:val="single" w:color="555555"/>
              <w:right w:sz="6" w:val="single" w:color="555555"/>
            </w:tcBorders>
            <w:vAlign w:val="center"/>
          </w:tcPr>
          <w:p>
            <w:pPr>
              <w:spacing w:after="0" w:line="252" w:lineRule="auto"/>
              <w:jc w:val="center"/>
            </w:pPr>
            <w:r>
              <w:rPr>
                <w:rFonts w:ascii="宋体" w:hAnsi="宋体" w:eastAsia="宋体"/>
                <w:b/>
                <w:sz w:val="16"/>
              </w:rPr>
              <w:t>电话</w:t>
            </w:r>
          </w:p>
        </w:tc>
        <w:tc>
          <w:tcPr>
            <w:tcW w:type="dxa" w:w="3855"/>
            <w:tcBorders>
              <w:top w:sz="6" w:val="single" w:color="555555"/>
              <w:left w:sz="6" w:val="single" w:color="555555"/>
              <w:bottom w:sz="6" w:val="single" w:color="555555"/>
              <w:right w:sz="6" w:val="single" w:color="555555"/>
            </w:tcBorders>
            <w:vAlign w:val="center"/>
          </w:tcPr>
          <w:p>
            <w:pPr>
              <w:spacing w:after="0" w:line="252" w:lineRule="auto"/>
              <w:jc w:val="center"/>
            </w:pPr>
            <w:r>
              <w:rPr>
                <w:rFonts w:ascii="宋体" w:hAnsi="宋体" w:eastAsia="宋体"/>
                <w:b/>
                <w:sz w:val="16"/>
              </w:rPr>
              <w:t>项目分工</w:t>
            </w:r>
          </w:p>
        </w:tc>
      </w:tr>
      <w:tr>
        <w:tc>
          <w:tcPr>
            <w:tcW w:type="dxa" w:w="1020"/>
            <w:vAlign w:val="center"/>
            <w:tcBorders>
              <w:top w:sz="6" w:val="single" w:color="555555"/>
              <w:left w:sz="6" w:val="single" w:color="555555"/>
              <w:bottom w:sz="6" w:val="single" w:color="555555"/>
              <w:right w:sz="6" w:val="single" w:color="555555"/>
            </w:tcBorders>
          </w:tcPr>
          <w:p>
            <w:pPr>
              <w:spacing w:after="0" w:line="252" w:lineRule="auto"/>
              <w:jc w:val="center"/>
            </w:pPr>
            <w:r>
              <w:rPr>
                <w:rFonts w:ascii="宋体" w:hAnsi="宋体" w:eastAsia="宋体"/>
                <w:b w:val="0"/>
                <w:sz w:val="14"/>
              </w:rPr>
              <w:t>何柄初</w:t>
            </w:r>
          </w:p>
        </w:tc>
        <w:tc>
          <w:tcPr>
            <w:tcW w:type="dxa" w:w="1247"/>
            <w:vAlign w:val="center"/>
            <w:tcBorders>
              <w:top w:sz="6" w:val="single" w:color="555555"/>
              <w:left w:sz="6" w:val="single" w:color="555555"/>
              <w:bottom w:sz="6" w:val="single" w:color="555555"/>
              <w:right w:sz="6" w:val="single" w:color="555555"/>
            </w:tcBorders>
          </w:tcPr>
          <w:p>
            <w:pPr>
              <w:spacing w:after="0" w:line="252" w:lineRule="auto"/>
              <w:jc w:val="center"/>
            </w:pPr>
            <w:r>
              <w:rPr>
                <w:rFonts w:ascii="宋体" w:hAnsi="宋体" w:eastAsia="宋体"/>
                <w:b w:val="0"/>
                <w:sz w:val="14"/>
              </w:rPr>
              <w:t>U202416595</w:t>
            </w:r>
          </w:p>
        </w:tc>
        <w:tc>
          <w:tcPr>
            <w:tcW w:type="dxa" w:w="567"/>
            <w:vAlign w:val="center"/>
            <w:tcBorders>
              <w:top w:sz="6" w:val="single" w:color="555555"/>
              <w:left w:sz="6" w:val="single" w:color="555555"/>
              <w:bottom w:sz="6" w:val="single" w:color="555555"/>
              <w:right w:sz="6" w:val="single" w:color="555555"/>
            </w:tcBorders>
          </w:tcPr>
          <w:p>
            <w:pPr>
              <w:spacing w:after="0" w:line="252" w:lineRule="auto"/>
              <w:jc w:val="center"/>
            </w:pPr>
            <w:r>
              <w:rPr>
                <w:rFonts w:ascii="宋体" w:hAnsi="宋体" w:eastAsia="宋体"/>
                <w:b w:val="0"/>
                <w:sz w:val="14"/>
              </w:rPr>
              <w:t>大二</w:t>
            </w:r>
          </w:p>
        </w:tc>
        <w:tc>
          <w:tcPr>
            <w:tcW w:type="dxa" w:w="1190"/>
            <w:vAlign w:val="center"/>
            <w:tcBorders>
              <w:top w:sz="6" w:val="single" w:color="555555"/>
              <w:left w:sz="6" w:val="single" w:color="555555"/>
              <w:bottom w:sz="6" w:val="single" w:color="555555"/>
              <w:right w:sz="6" w:val="single" w:color="555555"/>
            </w:tcBorders>
          </w:tcPr>
          <w:p>
            <w:pPr>
              <w:spacing w:after="0" w:line="252" w:lineRule="auto"/>
              <w:jc w:val="center"/>
            </w:pPr>
            <w:r>
              <w:rPr>
                <w:rFonts w:ascii="宋体" w:hAnsi="宋体" w:eastAsia="宋体"/>
                <w:b w:val="0"/>
                <w:sz w:val="14"/>
              </w:rPr>
              <w:t>3936259849</w:t>
            </w:r>
          </w:p>
        </w:tc>
        <w:tc>
          <w:tcPr>
            <w:tcW w:type="dxa" w:w="1814"/>
            <w:vAlign w:val="center"/>
            <w:tcBorders>
              <w:top w:sz="6" w:val="single" w:color="555555"/>
              <w:left w:sz="6" w:val="single" w:color="555555"/>
              <w:bottom w:sz="6" w:val="single" w:color="555555"/>
              <w:right w:sz="6" w:val="single" w:color="555555"/>
            </w:tcBorders>
          </w:tcPr>
          <w:p>
            <w:pPr>
              <w:spacing w:after="0" w:line="252" w:lineRule="auto"/>
              <w:jc w:val="center"/>
            </w:pPr>
            <w:r>
              <w:rPr>
                <w:rFonts w:ascii="宋体" w:hAnsi="宋体" w:eastAsia="宋体"/>
                <w:b w:val="0"/>
                <w:sz w:val="14"/>
              </w:rPr>
              <w:t>电气与电子工程学院</w:t>
            </w:r>
            <w:r>
              <w:rPr>
                <w:rFonts w:ascii="宋体" w:hAnsi="宋体" w:eastAsia="宋体"/>
              </w:rPr>
              <w:br/>
            </w:r>
            <w:r>
              <w:rPr>
                <w:rFonts w:ascii="宋体" w:hAnsi="宋体" w:eastAsia="宋体"/>
                <w:b w:val="0"/>
                <w:sz w:val="14"/>
              </w:rPr>
              <w:t>电气工程及其自动化</w:t>
            </w:r>
          </w:p>
        </w:tc>
        <w:tc>
          <w:tcPr>
            <w:tcW w:type="dxa" w:w="1134"/>
            <w:vAlign w:val="center"/>
            <w:tcBorders>
              <w:top w:sz="6" w:val="single" w:color="555555"/>
              <w:left w:sz="6" w:val="single" w:color="555555"/>
              <w:bottom w:sz="6" w:val="single" w:color="555555"/>
              <w:right w:sz="6" w:val="single" w:color="555555"/>
            </w:tcBorders>
          </w:tcPr>
          <w:p>
            <w:pPr>
              <w:spacing w:after="0" w:line="252" w:lineRule="auto"/>
              <w:jc w:val="center"/>
            </w:pPr>
            <w:r>
              <w:rPr>
                <w:rFonts w:ascii="宋体" w:hAnsi="宋体" w:eastAsia="宋体"/>
                <w:b w:val="0"/>
                <w:sz w:val="14"/>
              </w:rPr>
              <w:t>18904168391</w:t>
            </w:r>
          </w:p>
        </w:tc>
        <w:tc>
          <w:tcPr>
            <w:tcW w:type="dxa" w:w="3855"/>
            <w:vAlign w:val="center"/>
            <w:tcBorders>
              <w:top w:sz="6" w:val="single" w:color="555555"/>
              <w:left w:sz="6" w:val="single" w:color="555555"/>
              <w:bottom w:sz="6" w:val="single" w:color="555555"/>
              <w:right w:sz="6" w:val="single" w:color="555555"/>
            </w:tcBorders>
          </w:tcPr>
          <w:p>
            <w:pPr>
              <w:spacing w:after="0" w:line="252" w:lineRule="auto"/>
              <w:jc w:val="left"/>
            </w:pPr>
            <w:r>
              <w:rPr>
                <w:rFonts w:ascii="宋体" w:hAnsi="宋体" w:eastAsia="宋体"/>
                <w:b w:val="0"/>
                <w:sz w:val="14"/>
              </w:rPr>
              <w:t>项目统筹与算法方案设计，负责进度管理、阶段验收、专利材料整理和最终成果凝练。</w:t>
            </w:r>
          </w:p>
        </w:tc>
      </w:tr>
      <w:tr>
        <w:tc>
          <w:tcPr>
            <w:tcW w:type="dxa" w:w="1020"/>
            <w:vAlign w:val="center"/>
            <w:tcBorders>
              <w:top w:sz="6" w:val="single" w:color="555555"/>
              <w:left w:sz="6" w:val="single" w:color="555555"/>
              <w:bottom w:sz="6" w:val="single" w:color="555555"/>
              <w:right w:sz="6" w:val="single" w:color="555555"/>
            </w:tcBorders>
          </w:tcPr>
          <w:p>
            <w:pPr>
              <w:spacing w:after="0" w:line="252" w:lineRule="auto"/>
              <w:jc w:val="center"/>
            </w:pPr>
            <w:r>
              <w:rPr>
                <w:rFonts w:ascii="宋体" w:hAnsi="宋体" w:eastAsia="宋体"/>
                <w:b w:val="0"/>
                <w:sz w:val="14"/>
              </w:rPr>
              <w:t>黄哲皓</w:t>
            </w:r>
          </w:p>
        </w:tc>
        <w:tc>
          <w:tcPr>
            <w:tcW w:type="dxa" w:w="1247"/>
            <w:vAlign w:val="center"/>
            <w:tcBorders>
              <w:top w:sz="6" w:val="single" w:color="555555"/>
              <w:left w:sz="6" w:val="single" w:color="555555"/>
              <w:bottom w:sz="6" w:val="single" w:color="555555"/>
              <w:right w:sz="6" w:val="single" w:color="555555"/>
            </w:tcBorders>
          </w:tcPr>
          <w:p>
            <w:pPr>
              <w:spacing w:after="0" w:line="252" w:lineRule="auto"/>
              <w:jc w:val="center"/>
            </w:pPr>
            <w:r>
              <w:rPr>
                <w:rFonts w:ascii="宋体" w:hAnsi="宋体" w:eastAsia="宋体"/>
                <w:b w:val="0"/>
                <w:sz w:val="14"/>
              </w:rPr>
              <w:t>U202413397</w:t>
            </w:r>
          </w:p>
        </w:tc>
        <w:tc>
          <w:tcPr>
            <w:tcW w:type="dxa" w:w="567"/>
            <w:vAlign w:val="center"/>
            <w:tcBorders>
              <w:top w:sz="6" w:val="single" w:color="555555"/>
              <w:left w:sz="6" w:val="single" w:color="555555"/>
              <w:bottom w:sz="6" w:val="single" w:color="555555"/>
              <w:right w:sz="6" w:val="single" w:color="555555"/>
            </w:tcBorders>
          </w:tcPr>
          <w:p>
            <w:pPr>
              <w:spacing w:after="0" w:line="252" w:lineRule="auto"/>
              <w:jc w:val="center"/>
            </w:pPr>
            <w:r>
              <w:rPr>
                <w:rFonts w:ascii="宋体" w:hAnsi="宋体" w:eastAsia="宋体"/>
                <w:b w:val="0"/>
                <w:sz w:val="14"/>
              </w:rPr>
              <w:t>大二</w:t>
            </w:r>
          </w:p>
        </w:tc>
        <w:tc>
          <w:tcPr>
            <w:tcW w:type="dxa" w:w="1190"/>
            <w:vAlign w:val="center"/>
            <w:tcBorders>
              <w:top w:sz="6" w:val="single" w:color="555555"/>
              <w:left w:sz="6" w:val="single" w:color="555555"/>
              <w:bottom w:sz="6" w:val="single" w:color="555555"/>
              <w:right w:sz="6" w:val="single" w:color="555555"/>
            </w:tcBorders>
          </w:tcPr>
          <w:p>
            <w:pPr>
              <w:spacing w:after="0" w:line="252" w:lineRule="auto"/>
              <w:jc w:val="center"/>
            </w:pPr>
            <w:r>
              <w:rPr>
                <w:rFonts w:ascii="宋体" w:hAnsi="宋体" w:eastAsia="宋体"/>
                <w:b w:val="0"/>
                <w:sz w:val="14"/>
              </w:rPr>
              <w:t>3137486055</w:t>
            </w:r>
          </w:p>
        </w:tc>
        <w:tc>
          <w:tcPr>
            <w:tcW w:type="dxa" w:w="1814"/>
            <w:vAlign w:val="center"/>
            <w:tcBorders>
              <w:top w:sz="6" w:val="single" w:color="555555"/>
              <w:left w:sz="6" w:val="single" w:color="555555"/>
              <w:bottom w:sz="6" w:val="single" w:color="555555"/>
              <w:right w:sz="6" w:val="single" w:color="555555"/>
            </w:tcBorders>
          </w:tcPr>
          <w:p>
            <w:pPr>
              <w:spacing w:after="0" w:line="252" w:lineRule="auto"/>
              <w:jc w:val="center"/>
            </w:pPr>
            <w:r>
              <w:rPr>
                <w:rFonts w:ascii="宋体" w:hAnsi="宋体" w:eastAsia="宋体"/>
                <w:b w:val="0"/>
                <w:sz w:val="14"/>
              </w:rPr>
              <w:t>电气与电子工程学院</w:t>
            </w:r>
            <w:r>
              <w:rPr>
                <w:rFonts w:ascii="宋体" w:hAnsi="宋体" w:eastAsia="宋体"/>
              </w:rPr>
              <w:br/>
            </w:r>
            <w:r>
              <w:rPr>
                <w:rFonts w:ascii="宋体" w:hAnsi="宋体" w:eastAsia="宋体"/>
                <w:b w:val="0"/>
                <w:sz w:val="14"/>
              </w:rPr>
              <w:t>电气工程及其自动化</w:t>
            </w:r>
          </w:p>
        </w:tc>
        <w:tc>
          <w:tcPr>
            <w:tcW w:type="dxa" w:w="1134"/>
            <w:vAlign w:val="center"/>
            <w:tcBorders>
              <w:top w:sz="6" w:val="single" w:color="555555"/>
              <w:left w:sz="6" w:val="single" w:color="555555"/>
              <w:bottom w:sz="6" w:val="single" w:color="555555"/>
              <w:right w:sz="6" w:val="single" w:color="555555"/>
            </w:tcBorders>
          </w:tcPr>
          <w:p>
            <w:pPr>
              <w:spacing w:after="0" w:line="252" w:lineRule="auto"/>
              <w:jc w:val="center"/>
            </w:pPr>
            <w:r>
              <w:rPr>
                <w:rFonts w:ascii="宋体" w:hAnsi="宋体" w:eastAsia="宋体"/>
                <w:b w:val="0"/>
                <w:sz w:val="14"/>
              </w:rPr>
              <w:t>15773137757</w:t>
            </w:r>
          </w:p>
        </w:tc>
        <w:tc>
          <w:tcPr>
            <w:tcW w:type="dxa" w:w="3855"/>
            <w:vAlign w:val="center"/>
            <w:tcBorders>
              <w:top w:sz="6" w:val="single" w:color="555555"/>
              <w:left w:sz="6" w:val="single" w:color="555555"/>
              <w:bottom w:sz="6" w:val="single" w:color="555555"/>
              <w:right w:sz="6" w:val="single" w:color="555555"/>
            </w:tcBorders>
          </w:tcPr>
          <w:p>
            <w:pPr>
              <w:spacing w:after="0" w:line="252" w:lineRule="auto"/>
              <w:jc w:val="left"/>
            </w:pPr>
            <w:r>
              <w:rPr>
                <w:rFonts w:ascii="宋体" w:hAnsi="宋体" w:eastAsia="宋体"/>
                <w:b w:val="0"/>
                <w:sz w:val="14"/>
              </w:rPr>
              <w:t>数据与场景库建设，负责公开负荷、风电、光伏、电价和储能成本参数收集，完成典型场景整理。</w:t>
            </w:r>
          </w:p>
        </w:tc>
      </w:tr>
      <w:tr>
        <w:tc>
          <w:tcPr>
            <w:tcW w:type="dxa" w:w="1020"/>
            <w:vAlign w:val="center"/>
            <w:tcBorders>
              <w:top w:sz="6" w:val="single" w:color="555555"/>
              <w:left w:sz="6" w:val="single" w:color="555555"/>
              <w:bottom w:sz="6" w:val="single" w:color="555555"/>
              <w:right w:sz="6" w:val="single" w:color="555555"/>
            </w:tcBorders>
          </w:tcPr>
          <w:p>
            <w:pPr>
              <w:spacing w:after="0" w:line="252" w:lineRule="auto"/>
              <w:jc w:val="center"/>
            </w:pPr>
            <w:r>
              <w:rPr>
                <w:rFonts w:ascii="宋体" w:hAnsi="宋体" w:eastAsia="宋体"/>
                <w:b w:val="0"/>
                <w:sz w:val="14"/>
              </w:rPr>
              <w:t>杨骏盛伟</w:t>
            </w:r>
          </w:p>
        </w:tc>
        <w:tc>
          <w:tcPr>
            <w:tcW w:type="dxa" w:w="1247"/>
            <w:vAlign w:val="center"/>
            <w:tcBorders>
              <w:top w:sz="6" w:val="single" w:color="555555"/>
              <w:left w:sz="6" w:val="single" w:color="555555"/>
              <w:bottom w:sz="6" w:val="single" w:color="555555"/>
              <w:right w:sz="6" w:val="single" w:color="555555"/>
            </w:tcBorders>
          </w:tcPr>
          <w:p>
            <w:pPr>
              <w:spacing w:after="0" w:line="252" w:lineRule="auto"/>
              <w:jc w:val="center"/>
            </w:pPr>
            <w:r>
              <w:rPr>
                <w:rFonts w:ascii="宋体" w:hAnsi="宋体" w:eastAsia="宋体"/>
                <w:b w:val="0"/>
                <w:sz w:val="14"/>
              </w:rPr>
              <w:t>U202415624</w:t>
            </w:r>
          </w:p>
        </w:tc>
        <w:tc>
          <w:tcPr>
            <w:tcW w:type="dxa" w:w="567"/>
            <w:vAlign w:val="center"/>
            <w:tcBorders>
              <w:top w:sz="6" w:val="single" w:color="555555"/>
              <w:left w:sz="6" w:val="single" w:color="555555"/>
              <w:bottom w:sz="6" w:val="single" w:color="555555"/>
              <w:right w:sz="6" w:val="single" w:color="555555"/>
            </w:tcBorders>
          </w:tcPr>
          <w:p>
            <w:pPr>
              <w:spacing w:after="0" w:line="252" w:lineRule="auto"/>
              <w:jc w:val="center"/>
            </w:pPr>
            <w:r>
              <w:rPr>
                <w:rFonts w:ascii="宋体" w:hAnsi="宋体" w:eastAsia="宋体"/>
                <w:b w:val="0"/>
                <w:sz w:val="14"/>
              </w:rPr>
              <w:t>大二</w:t>
            </w:r>
          </w:p>
        </w:tc>
        <w:tc>
          <w:tcPr>
            <w:tcW w:type="dxa" w:w="1190"/>
            <w:vAlign w:val="center"/>
            <w:tcBorders>
              <w:top w:sz="6" w:val="single" w:color="555555"/>
              <w:left w:sz="6" w:val="single" w:color="555555"/>
              <w:bottom w:sz="6" w:val="single" w:color="555555"/>
              <w:right w:sz="6" w:val="single" w:color="555555"/>
            </w:tcBorders>
          </w:tcPr>
          <w:p>
            <w:pPr>
              <w:spacing w:after="0" w:line="252" w:lineRule="auto"/>
              <w:jc w:val="center"/>
            </w:pPr>
            <w:r>
              <w:rPr>
                <w:rFonts w:ascii="宋体" w:hAnsi="宋体" w:eastAsia="宋体"/>
                <w:b w:val="0"/>
                <w:sz w:val="14"/>
              </w:rPr>
              <w:t>3955230992</w:t>
            </w:r>
          </w:p>
        </w:tc>
        <w:tc>
          <w:tcPr>
            <w:tcW w:type="dxa" w:w="1814"/>
            <w:vAlign w:val="center"/>
            <w:tcBorders>
              <w:top w:sz="6" w:val="single" w:color="555555"/>
              <w:left w:sz="6" w:val="single" w:color="555555"/>
              <w:bottom w:sz="6" w:val="single" w:color="555555"/>
              <w:right w:sz="6" w:val="single" w:color="555555"/>
            </w:tcBorders>
          </w:tcPr>
          <w:p>
            <w:pPr>
              <w:spacing w:after="0" w:line="252" w:lineRule="auto"/>
              <w:jc w:val="center"/>
            </w:pPr>
            <w:r>
              <w:rPr>
                <w:rFonts w:ascii="宋体" w:hAnsi="宋体" w:eastAsia="宋体"/>
                <w:b w:val="0"/>
                <w:sz w:val="14"/>
              </w:rPr>
              <w:t>电气与电子工程学院</w:t>
            </w:r>
            <w:r>
              <w:rPr>
                <w:rFonts w:ascii="宋体" w:hAnsi="宋体" w:eastAsia="宋体"/>
              </w:rPr>
              <w:br/>
            </w:r>
            <w:r>
              <w:rPr>
                <w:rFonts w:ascii="宋体" w:hAnsi="宋体" w:eastAsia="宋体"/>
                <w:b w:val="0"/>
                <w:sz w:val="14"/>
              </w:rPr>
              <w:t>电气工程及其自动化</w:t>
            </w:r>
          </w:p>
        </w:tc>
        <w:tc>
          <w:tcPr>
            <w:tcW w:type="dxa" w:w="1134"/>
            <w:vAlign w:val="center"/>
            <w:tcBorders>
              <w:top w:sz="6" w:val="single" w:color="555555"/>
              <w:left w:sz="6" w:val="single" w:color="555555"/>
              <w:bottom w:sz="6" w:val="single" w:color="555555"/>
              <w:right w:sz="6" w:val="single" w:color="555555"/>
            </w:tcBorders>
          </w:tcPr>
          <w:p>
            <w:pPr>
              <w:spacing w:after="0" w:line="252" w:lineRule="auto"/>
              <w:jc w:val="center"/>
            </w:pPr>
            <w:r>
              <w:rPr>
                <w:rFonts w:ascii="宋体" w:hAnsi="宋体" w:eastAsia="宋体"/>
                <w:b w:val="0"/>
                <w:sz w:val="14"/>
              </w:rPr>
              <w:t>19208815008</w:t>
            </w:r>
          </w:p>
        </w:tc>
        <w:tc>
          <w:tcPr>
            <w:tcW w:type="dxa" w:w="3855"/>
            <w:vAlign w:val="center"/>
            <w:tcBorders>
              <w:top w:sz="6" w:val="single" w:color="555555"/>
              <w:left w:sz="6" w:val="single" w:color="555555"/>
              <w:bottom w:sz="6" w:val="single" w:color="555555"/>
              <w:right w:sz="6" w:val="single" w:color="555555"/>
            </w:tcBorders>
          </w:tcPr>
          <w:p>
            <w:pPr>
              <w:spacing w:after="0" w:line="252" w:lineRule="auto"/>
              <w:jc w:val="left"/>
            </w:pPr>
            <w:r>
              <w:rPr>
                <w:rFonts w:ascii="宋体" w:hAnsi="宋体" w:eastAsia="宋体"/>
                <w:b w:val="0"/>
                <w:sz w:val="14"/>
              </w:rPr>
              <w:t>模型编程与软件实现，负责电力电量平衡程序、储能容量-功率优化算法、结果可视化和界面开发。</w:t>
            </w:r>
          </w:p>
        </w:tc>
      </w:tr>
      <w:tr>
        <w:tc>
          <w:tcPr>
            <w:tcW w:type="dxa" w:w="1020"/>
            <w:vAlign w:val="center"/>
            <w:tcBorders>
              <w:top w:sz="6" w:val="single" w:color="555555"/>
              <w:left w:sz="6" w:val="single" w:color="555555"/>
              <w:bottom w:sz="6" w:val="single" w:color="555555"/>
              <w:right w:sz="6" w:val="single" w:color="555555"/>
            </w:tcBorders>
          </w:tcPr>
          <w:p>
            <w:pPr>
              <w:spacing w:after="0" w:line="252" w:lineRule="auto"/>
              <w:jc w:val="center"/>
            </w:pPr>
            <w:r>
              <w:rPr>
                <w:rFonts w:ascii="宋体" w:hAnsi="宋体" w:eastAsia="宋体"/>
                <w:b w:val="0"/>
                <w:sz w:val="14"/>
              </w:rPr>
              <w:t>龚正</w:t>
            </w:r>
          </w:p>
        </w:tc>
        <w:tc>
          <w:tcPr>
            <w:tcW w:type="dxa" w:w="1247"/>
            <w:vAlign w:val="center"/>
            <w:tcBorders>
              <w:top w:sz="6" w:val="single" w:color="555555"/>
              <w:left w:sz="6" w:val="single" w:color="555555"/>
              <w:bottom w:sz="6" w:val="single" w:color="555555"/>
              <w:right w:sz="6" w:val="single" w:color="555555"/>
            </w:tcBorders>
          </w:tcPr>
          <w:p>
            <w:pPr>
              <w:spacing w:after="0" w:line="252" w:lineRule="auto"/>
              <w:jc w:val="center"/>
            </w:pPr>
            <w:r>
              <w:rPr>
                <w:rFonts w:ascii="宋体" w:hAnsi="宋体" w:eastAsia="宋体"/>
                <w:b w:val="0"/>
                <w:sz w:val="14"/>
              </w:rPr>
              <w:t>U202415663</w:t>
            </w:r>
          </w:p>
        </w:tc>
        <w:tc>
          <w:tcPr>
            <w:tcW w:type="dxa" w:w="567"/>
            <w:vAlign w:val="center"/>
            <w:tcBorders>
              <w:top w:sz="6" w:val="single" w:color="555555"/>
              <w:left w:sz="6" w:val="single" w:color="555555"/>
              <w:bottom w:sz="6" w:val="single" w:color="555555"/>
              <w:right w:sz="6" w:val="single" w:color="555555"/>
            </w:tcBorders>
          </w:tcPr>
          <w:p>
            <w:pPr>
              <w:spacing w:after="0" w:line="252" w:lineRule="auto"/>
              <w:jc w:val="center"/>
            </w:pPr>
            <w:r>
              <w:rPr>
                <w:rFonts w:ascii="宋体" w:hAnsi="宋体" w:eastAsia="宋体"/>
                <w:b w:val="0"/>
                <w:sz w:val="14"/>
              </w:rPr>
              <w:t>大二</w:t>
            </w:r>
          </w:p>
        </w:tc>
        <w:tc>
          <w:tcPr>
            <w:tcW w:type="dxa" w:w="1190"/>
            <w:vAlign w:val="center"/>
            <w:tcBorders>
              <w:top w:sz="6" w:val="single" w:color="555555"/>
              <w:left w:sz="6" w:val="single" w:color="555555"/>
              <w:bottom w:sz="6" w:val="single" w:color="555555"/>
              <w:right w:sz="6" w:val="single" w:color="555555"/>
            </w:tcBorders>
          </w:tcPr>
          <w:p>
            <w:pPr>
              <w:spacing w:after="0" w:line="252" w:lineRule="auto"/>
              <w:jc w:val="center"/>
            </w:pPr>
            <w:r>
              <w:rPr>
                <w:rFonts w:ascii="宋体" w:hAnsi="宋体" w:eastAsia="宋体"/>
                <w:b w:val="0"/>
                <w:sz w:val="14"/>
              </w:rPr>
              <w:t>1648218982</w:t>
            </w:r>
          </w:p>
        </w:tc>
        <w:tc>
          <w:tcPr>
            <w:tcW w:type="dxa" w:w="1814"/>
            <w:vAlign w:val="center"/>
            <w:tcBorders>
              <w:top w:sz="6" w:val="single" w:color="555555"/>
              <w:left w:sz="6" w:val="single" w:color="555555"/>
              <w:bottom w:sz="6" w:val="single" w:color="555555"/>
              <w:right w:sz="6" w:val="single" w:color="555555"/>
            </w:tcBorders>
          </w:tcPr>
          <w:p>
            <w:pPr>
              <w:spacing w:after="0" w:line="252" w:lineRule="auto"/>
              <w:jc w:val="center"/>
            </w:pPr>
            <w:r>
              <w:rPr>
                <w:rFonts w:ascii="宋体" w:hAnsi="宋体" w:eastAsia="宋体"/>
                <w:b w:val="0"/>
                <w:sz w:val="14"/>
              </w:rPr>
              <w:t>电气与电子工程学院</w:t>
            </w:r>
            <w:r>
              <w:rPr>
                <w:rFonts w:ascii="宋体" w:hAnsi="宋体" w:eastAsia="宋体"/>
              </w:rPr>
              <w:br/>
            </w:r>
            <w:r>
              <w:rPr>
                <w:rFonts w:ascii="宋体" w:hAnsi="宋体" w:eastAsia="宋体"/>
                <w:b w:val="0"/>
                <w:sz w:val="14"/>
              </w:rPr>
              <w:t>电气工程及其自动化</w:t>
            </w:r>
          </w:p>
        </w:tc>
        <w:tc>
          <w:tcPr>
            <w:tcW w:type="dxa" w:w="1134"/>
            <w:vAlign w:val="center"/>
            <w:tcBorders>
              <w:top w:sz="6" w:val="single" w:color="555555"/>
              <w:left w:sz="6" w:val="single" w:color="555555"/>
              <w:bottom w:sz="6" w:val="single" w:color="555555"/>
              <w:right w:sz="6" w:val="single" w:color="555555"/>
            </w:tcBorders>
          </w:tcPr>
          <w:p>
            <w:pPr>
              <w:spacing w:after="0" w:line="252" w:lineRule="auto"/>
              <w:jc w:val="center"/>
            </w:pPr>
            <w:r>
              <w:rPr>
                <w:rFonts w:ascii="宋体" w:hAnsi="宋体" w:eastAsia="宋体"/>
                <w:b w:val="0"/>
                <w:sz w:val="14"/>
              </w:rPr>
              <w:t>13837062808</w:t>
            </w:r>
          </w:p>
        </w:tc>
        <w:tc>
          <w:tcPr>
            <w:tcW w:type="dxa" w:w="3855"/>
            <w:vAlign w:val="center"/>
            <w:tcBorders>
              <w:top w:sz="6" w:val="single" w:color="555555"/>
              <w:left w:sz="6" w:val="single" w:color="555555"/>
              <w:bottom w:sz="6" w:val="single" w:color="555555"/>
              <w:right w:sz="6" w:val="single" w:color="555555"/>
            </w:tcBorders>
          </w:tcPr>
          <w:p>
            <w:pPr>
              <w:spacing w:after="0" w:line="252" w:lineRule="auto"/>
              <w:jc w:val="left"/>
            </w:pPr>
            <w:r>
              <w:rPr>
                <w:rFonts w:ascii="宋体" w:hAnsi="宋体" w:eastAsia="宋体"/>
                <w:b w:val="0"/>
                <w:sz w:val="14"/>
              </w:rPr>
              <w:t>文献调研与报告撰写，负责储能规划、市场价值、源网荷储协同等文献综述，协助论文初稿和专利交底书。</w:t>
            </w:r>
          </w:p>
        </w:tc>
      </w:tr>
    </w:tbl>
    <w:p>
      <w:pPr>
        <w:spacing w:after="40"/>
      </w:pPr>
      <w:r>
        <w:rPr>
          <w:rFonts w:ascii="宋体" w:hAnsi="宋体" w:eastAsia="宋体"/>
          <w:sz w:val="21"/>
        </w:rPr>
        <w:t>团队名称：高比例新能源电力电量平衡与储能配置研究团队</w:t>
      </w:r>
    </w:p>
    <w:tbl>
      <w:tblPr>
        <w:tblW w:type="auto" w:w="0"/>
        <w:tblLook w:firstColumn="1" w:firstRow="1" w:lastColumn="0" w:lastRow="0" w:noHBand="0" w:noVBand="1" w:val="04A0"/>
        <w:jc w:val="center"/>
        <w:tblLayout w:type="fixed"/>
      </w:tblPr>
      <w:tblGrid>
        <w:gridCol w:w="1654"/>
        <w:gridCol w:w="1654"/>
        <w:gridCol w:w="1654"/>
        <w:gridCol w:w="1654"/>
        <w:gridCol w:w="1654"/>
        <w:gridCol w:w="1654"/>
      </w:tblGrid>
      <w:tr>
        <w:tc>
          <w:tcPr>
            <w:tcW w:type="dxa" w:w="1474"/>
            <w:tcBorders>
              <w:top w:sz="6" w:val="single" w:color="555555"/>
              <w:left w:sz="6" w:val="single" w:color="555555"/>
              <w:bottom w:sz="6" w:val="single" w:color="555555"/>
              <w:right w:sz="6" w:val="single" w:color="555555"/>
            </w:tcBorders>
            <w:vAlign w:val="center"/>
          </w:tcPr>
          <w:p>
            <w:pPr>
              <w:spacing w:after="0" w:line="252" w:lineRule="auto"/>
              <w:jc w:val="center"/>
            </w:pPr>
            <w:r>
              <w:rPr>
                <w:rFonts w:ascii="宋体" w:hAnsi="宋体" w:eastAsia="宋体"/>
                <w:b/>
                <w:sz w:val="16"/>
              </w:rPr>
              <w:t>姓名</w:t>
            </w:r>
          </w:p>
        </w:tc>
        <w:tc>
          <w:tcPr>
            <w:tcW w:type="dxa" w:w="1701"/>
            <w:tcBorders>
              <w:top w:sz="6" w:val="single" w:color="555555"/>
              <w:left w:sz="6" w:val="single" w:color="555555"/>
              <w:bottom w:sz="6" w:val="single" w:color="555555"/>
              <w:right w:sz="6" w:val="single" w:color="555555"/>
            </w:tcBorders>
            <w:vAlign w:val="center"/>
          </w:tcPr>
          <w:p>
            <w:pPr>
              <w:spacing w:after="0" w:line="252" w:lineRule="auto"/>
              <w:jc w:val="left"/>
            </w:pPr>
            <w:r>
              <w:rPr>
                <w:rFonts w:ascii="宋体" w:hAnsi="宋体" w:eastAsia="宋体"/>
                <w:b w:val="0"/>
                <w:sz w:val="16"/>
              </w:rPr>
              <w:t>娄素华</w:t>
            </w:r>
          </w:p>
        </w:tc>
        <w:tc>
          <w:tcPr>
            <w:tcW w:type="dxa" w:w="1247"/>
            <w:tcBorders>
              <w:top w:sz="6" w:val="single" w:color="555555"/>
              <w:left w:sz="6" w:val="single" w:color="555555"/>
              <w:bottom w:sz="6" w:val="single" w:color="555555"/>
              <w:right w:sz="6" w:val="single" w:color="555555"/>
            </w:tcBorders>
            <w:vAlign w:val="center"/>
          </w:tcPr>
          <w:p>
            <w:pPr>
              <w:spacing w:after="0" w:line="252" w:lineRule="auto"/>
              <w:jc w:val="center"/>
            </w:pPr>
            <w:r>
              <w:rPr>
                <w:rFonts w:ascii="宋体" w:hAnsi="宋体" w:eastAsia="宋体"/>
                <w:b/>
                <w:sz w:val="16"/>
              </w:rPr>
              <w:t>年龄</w:t>
            </w:r>
          </w:p>
        </w:tc>
        <w:tc>
          <w:tcPr>
            <w:tcW w:type="dxa" w:w="1134"/>
            <w:tcBorders>
              <w:top w:sz="6" w:val="single" w:color="555555"/>
              <w:left w:sz="6" w:val="single" w:color="555555"/>
              <w:bottom w:sz="6" w:val="single" w:color="555555"/>
              <w:right w:sz="6" w:val="single" w:color="555555"/>
            </w:tcBorders>
            <w:vAlign w:val="center"/>
          </w:tcPr>
          <w:p>
            <w:pPr>
              <w:spacing w:after="0" w:line="252" w:lineRule="auto"/>
              <w:jc w:val="left"/>
            </w:pPr>
            <w:r>
              <w:rPr>
                <w:rFonts w:ascii="宋体" w:hAnsi="宋体" w:eastAsia="宋体"/>
                <w:b w:val="0"/>
                <w:sz w:val="16"/>
              </w:rPr>
              <w:t>51</w:t>
            </w:r>
          </w:p>
        </w:tc>
        <w:tc>
          <w:tcPr>
            <w:tcW w:type="dxa" w:w="1474"/>
            <w:tcBorders>
              <w:top w:sz="6" w:val="single" w:color="555555"/>
              <w:left w:sz="6" w:val="single" w:color="555555"/>
              <w:bottom w:sz="6" w:val="single" w:color="555555"/>
              <w:right w:sz="6" w:val="single" w:color="555555"/>
            </w:tcBorders>
            <w:vAlign w:val="center"/>
          </w:tcPr>
          <w:p>
            <w:pPr>
              <w:spacing w:after="0" w:line="252" w:lineRule="auto"/>
              <w:jc w:val="center"/>
            </w:pPr>
            <w:r>
              <w:rPr>
                <w:rFonts w:ascii="宋体" w:hAnsi="宋体" w:eastAsia="宋体"/>
                <w:b/>
                <w:sz w:val="16"/>
              </w:rPr>
              <w:t>工作单位</w:t>
            </w:r>
          </w:p>
        </w:tc>
        <w:tc>
          <w:tcPr>
            <w:tcW w:type="dxa" w:w="3742"/>
            <w:tcBorders>
              <w:top w:sz="6" w:val="single" w:color="555555"/>
              <w:left w:sz="6" w:val="single" w:color="555555"/>
              <w:bottom w:sz="6" w:val="single" w:color="555555"/>
              <w:right w:sz="6" w:val="single" w:color="555555"/>
            </w:tcBorders>
            <w:vAlign w:val="center"/>
          </w:tcPr>
          <w:p>
            <w:pPr>
              <w:spacing w:after="0" w:line="252" w:lineRule="auto"/>
              <w:jc w:val="left"/>
            </w:pPr>
            <w:r>
              <w:rPr>
                <w:rFonts w:ascii="宋体" w:hAnsi="宋体" w:eastAsia="宋体"/>
                <w:b w:val="0"/>
                <w:sz w:val="16"/>
              </w:rPr>
              <w:t>华中科技大学电气与电子工程学院电力系</w:t>
            </w:r>
          </w:p>
        </w:tc>
      </w:tr>
      <w:tr>
        <w:tc>
          <w:tcPr>
            <w:tcW w:type="dxa" w:w="1474"/>
            <w:tcBorders>
              <w:top w:sz="6" w:val="single" w:color="555555"/>
              <w:left w:sz="6" w:val="single" w:color="555555"/>
              <w:bottom w:sz="6" w:val="single" w:color="555555"/>
              <w:right w:sz="6" w:val="single" w:color="555555"/>
            </w:tcBorders>
            <w:vAlign w:val="center"/>
          </w:tcPr>
          <w:p>
            <w:pPr>
              <w:spacing w:after="0" w:line="252" w:lineRule="auto"/>
              <w:jc w:val="center"/>
            </w:pPr>
            <w:r>
              <w:rPr>
                <w:rFonts w:ascii="宋体" w:hAnsi="宋体" w:eastAsia="宋体"/>
                <w:b/>
                <w:sz w:val="16"/>
              </w:rPr>
              <w:t>职称</w:t>
            </w:r>
          </w:p>
        </w:tc>
        <w:tc>
          <w:tcPr>
            <w:tcW w:type="dxa" w:w="1701"/>
            <w:tcBorders>
              <w:top w:sz="6" w:val="single" w:color="555555"/>
              <w:left w:sz="6" w:val="single" w:color="555555"/>
              <w:bottom w:sz="6" w:val="single" w:color="555555"/>
              <w:right w:sz="6" w:val="single" w:color="555555"/>
            </w:tcBorders>
            <w:vAlign w:val="center"/>
          </w:tcPr>
          <w:p>
            <w:pPr>
              <w:spacing w:after="0" w:line="252" w:lineRule="auto"/>
              <w:jc w:val="left"/>
            </w:pPr>
            <w:r>
              <w:rPr>
                <w:rFonts w:ascii="宋体" w:hAnsi="宋体" w:eastAsia="宋体"/>
                <w:b w:val="0"/>
                <w:sz w:val="16"/>
              </w:rPr>
              <w:t>教授</w:t>
            </w:r>
          </w:p>
        </w:tc>
        <w:tc>
          <w:tcPr>
            <w:tcW w:type="dxa" w:w="1247"/>
            <w:tcBorders>
              <w:top w:sz="6" w:val="single" w:color="555555"/>
              <w:left w:sz="6" w:val="single" w:color="555555"/>
              <w:bottom w:sz="6" w:val="single" w:color="555555"/>
              <w:right w:sz="6" w:val="single" w:color="555555"/>
            </w:tcBorders>
            <w:vAlign w:val="center"/>
          </w:tcPr>
          <w:p>
            <w:pPr>
              <w:spacing w:after="0" w:line="252" w:lineRule="auto"/>
              <w:jc w:val="center"/>
            </w:pPr>
            <w:r>
              <w:rPr>
                <w:rFonts w:ascii="宋体" w:hAnsi="宋体" w:eastAsia="宋体"/>
                <w:b/>
                <w:sz w:val="16"/>
              </w:rPr>
              <w:t>职务</w:t>
            </w:r>
          </w:p>
        </w:tc>
        <w:tc>
          <w:tcPr>
            <w:tcW w:type="dxa" w:w="1134"/>
            <w:tcBorders>
              <w:top w:sz="6" w:val="single" w:color="555555"/>
              <w:left w:sz="6" w:val="single" w:color="555555"/>
              <w:bottom w:sz="6" w:val="single" w:color="555555"/>
              <w:right w:sz="6" w:val="single" w:color="555555"/>
            </w:tcBorders>
            <w:vAlign w:val="center"/>
          </w:tcPr>
          <w:p>
            <w:pPr>
              <w:spacing w:after="0" w:line="252" w:lineRule="auto"/>
              <w:jc w:val="left"/>
            </w:pPr>
            <w:r>
              <w:rPr>
                <w:rFonts w:ascii="宋体" w:hAnsi="宋体" w:eastAsia="宋体"/>
                <w:b w:val="0"/>
                <w:sz w:val="16"/>
              </w:rPr>
              <w:t>教师</w:t>
            </w:r>
          </w:p>
        </w:tc>
        <w:tc>
          <w:tcPr>
            <w:tcW w:type="dxa" w:w="1474"/>
            <w:tcBorders>
              <w:top w:sz="6" w:val="single" w:color="555555"/>
              <w:left w:sz="6" w:val="single" w:color="555555"/>
              <w:bottom w:sz="6" w:val="single" w:color="555555"/>
              <w:right w:sz="6" w:val="single" w:color="555555"/>
            </w:tcBorders>
            <w:vAlign w:val="center"/>
          </w:tcPr>
          <w:p>
            <w:pPr>
              <w:spacing w:after="0" w:line="252" w:lineRule="auto"/>
              <w:jc w:val="center"/>
            </w:pPr>
            <w:r>
              <w:rPr>
                <w:rFonts w:ascii="宋体" w:hAnsi="宋体" w:eastAsia="宋体"/>
                <w:b/>
                <w:sz w:val="16"/>
              </w:rPr>
              <w:t>E-mail</w:t>
            </w:r>
          </w:p>
        </w:tc>
        <w:tc>
          <w:tcPr>
            <w:tcW w:type="dxa" w:w="3742"/>
            <w:tcBorders>
              <w:top w:sz="6" w:val="single" w:color="555555"/>
              <w:left w:sz="6" w:val="single" w:color="555555"/>
              <w:bottom w:sz="6" w:val="single" w:color="555555"/>
              <w:right w:sz="6" w:val="single" w:color="555555"/>
            </w:tcBorders>
            <w:vAlign w:val="center"/>
          </w:tcPr>
          <w:p>
            <w:pPr>
              <w:spacing w:after="0" w:line="252" w:lineRule="auto"/>
              <w:jc w:val="left"/>
            </w:pPr>
            <w:r>
              <w:rPr>
                <w:rFonts w:ascii="宋体" w:hAnsi="宋体" w:eastAsia="宋体"/>
                <w:b w:val="0"/>
                <w:sz w:val="16"/>
              </w:rPr>
              <w:t>shlou@</w:t>
            </w:r>
            <w:r>
              <w:rPr>
                <w:rFonts w:ascii="宋体" w:hAnsi="宋体" w:eastAsia="宋体"/>
              </w:rPr>
              <w:br/>
            </w:r>
            <w:r>
              <w:rPr>
                <w:rFonts w:ascii="宋体" w:hAnsi="宋体" w:eastAsia="宋体"/>
                <w:b w:val="0"/>
                <w:sz w:val="16"/>
              </w:rPr>
              <w:t>hust.edu.cn</w:t>
            </w:r>
          </w:p>
        </w:tc>
      </w:tr>
      <w:tr>
        <w:tc>
          <w:tcPr>
            <w:tcW w:type="dxa" w:w="1474"/>
            <w:tcBorders>
              <w:top w:sz="6" w:val="single" w:color="555555"/>
              <w:left w:sz="6" w:val="single" w:color="555555"/>
              <w:bottom w:sz="6" w:val="single" w:color="555555"/>
              <w:right w:sz="6" w:val="single" w:color="555555"/>
            </w:tcBorders>
            <w:vAlign w:val="center"/>
          </w:tcPr>
          <w:p>
            <w:pPr>
              <w:spacing w:after="0" w:line="252" w:lineRule="auto"/>
              <w:jc w:val="center"/>
            </w:pPr>
            <w:r>
              <w:rPr>
                <w:rFonts w:ascii="宋体" w:hAnsi="宋体" w:eastAsia="宋体"/>
                <w:b/>
                <w:sz w:val="16"/>
              </w:rPr>
              <w:t>联系电话</w:t>
            </w:r>
          </w:p>
        </w:tc>
        <w:tc>
          <w:tcPr>
            <w:tcW w:type="dxa" w:w="1701"/>
            <w:tcBorders>
              <w:top w:sz="6" w:val="single" w:color="555555"/>
              <w:left w:sz="6" w:val="single" w:color="555555"/>
              <w:bottom w:sz="6" w:val="single" w:color="555555"/>
              <w:right w:sz="6" w:val="single" w:color="555555"/>
            </w:tcBorders>
            <w:vAlign w:val="center"/>
          </w:tcPr>
          <w:p>
            <w:pPr>
              <w:spacing w:after="0" w:line="252" w:lineRule="auto"/>
              <w:jc w:val="left"/>
            </w:pPr>
            <w:r>
              <w:rPr>
                <w:rFonts w:ascii="宋体" w:hAnsi="宋体" w:eastAsia="宋体"/>
                <w:b w:val="0"/>
                <w:sz w:val="16"/>
              </w:rPr>
              <w:t>027-87544464</w:t>
            </w:r>
          </w:p>
        </w:tc>
        <w:tc>
          <w:tcPr>
            <w:tcW w:type="dxa" w:w="1247"/>
            <w:tcBorders>
              <w:top w:sz="6" w:val="single" w:color="555555"/>
              <w:left w:sz="6" w:val="single" w:color="555555"/>
              <w:bottom w:sz="6" w:val="single" w:color="555555"/>
              <w:right w:sz="6" w:val="single" w:color="555555"/>
            </w:tcBorders>
            <w:vAlign w:val="center"/>
          </w:tcPr>
          <w:p>
            <w:pPr>
              <w:spacing w:after="0" w:line="252" w:lineRule="auto"/>
              <w:jc w:val="center"/>
            </w:pPr>
            <w:r>
              <w:rPr>
                <w:rFonts w:ascii="宋体" w:hAnsi="宋体" w:eastAsia="宋体"/>
                <w:b w:val="0"/>
                <w:sz w:val="16"/>
              </w:rPr>
            </w:r>
          </w:p>
        </w:tc>
        <w:tc>
          <w:tcPr>
            <w:tcW w:type="dxa" w:w="1134"/>
            <w:tcBorders>
              <w:top w:sz="6" w:val="single" w:color="555555"/>
              <w:left w:sz="6" w:val="single" w:color="555555"/>
              <w:bottom w:sz="6" w:val="single" w:color="555555"/>
              <w:right w:sz="6" w:val="single" w:color="555555"/>
            </w:tcBorders>
            <w:vAlign w:val="center"/>
          </w:tcPr>
          <w:p>
            <w:pPr>
              <w:spacing w:after="0" w:line="252" w:lineRule="auto"/>
              <w:jc w:val="left"/>
            </w:pPr>
            <w:r>
              <w:rPr>
                <w:rFonts w:ascii="宋体" w:hAnsi="宋体" w:eastAsia="宋体"/>
                <w:b w:val="0"/>
                <w:sz w:val="16"/>
              </w:rPr>
            </w:r>
          </w:p>
        </w:tc>
        <w:tc>
          <w:tcPr>
            <w:tcW w:type="dxa" w:w="1474"/>
            <w:tcBorders>
              <w:top w:sz="6" w:val="single" w:color="555555"/>
              <w:left w:sz="6" w:val="single" w:color="555555"/>
              <w:bottom w:sz="6" w:val="single" w:color="555555"/>
              <w:right w:sz="6" w:val="single" w:color="555555"/>
            </w:tcBorders>
            <w:vAlign w:val="center"/>
          </w:tcPr>
          <w:p>
            <w:pPr>
              <w:spacing w:after="0" w:line="252" w:lineRule="auto"/>
              <w:jc w:val="center"/>
            </w:pPr>
            <w:r>
              <w:rPr>
                <w:rFonts w:ascii="宋体" w:hAnsi="宋体" w:eastAsia="宋体"/>
                <w:b w:val="0"/>
                <w:sz w:val="16"/>
              </w:rPr>
            </w:r>
          </w:p>
        </w:tc>
        <w:tc>
          <w:tcPr>
            <w:tcW w:type="dxa" w:w="3742"/>
            <w:tcBorders>
              <w:top w:sz="6" w:val="single" w:color="555555"/>
              <w:left w:sz="6" w:val="single" w:color="555555"/>
              <w:bottom w:sz="6" w:val="single" w:color="555555"/>
              <w:right w:sz="6" w:val="single" w:color="555555"/>
            </w:tcBorders>
            <w:vAlign w:val="center"/>
          </w:tcPr>
          <w:p>
            <w:pPr>
              <w:spacing w:after="0" w:line="252" w:lineRule="auto"/>
              <w:jc w:val="left"/>
            </w:pPr>
            <w:r>
              <w:rPr>
                <w:rFonts w:ascii="宋体" w:hAnsi="宋体" w:eastAsia="宋体"/>
                <w:b w:val="0"/>
                <w:sz w:val="16"/>
              </w:rPr>
            </w:r>
          </w:p>
        </w:tc>
      </w:tr>
      <w:tr>
        <w:tc>
          <w:tcPr>
            <w:tcW w:type="dxa" w:w="1474"/>
            <w:tcBorders>
              <w:top w:sz="6" w:val="single" w:color="555555"/>
              <w:left w:sz="6" w:val="single" w:color="555555"/>
              <w:bottom w:sz="6" w:val="single" w:color="555555"/>
              <w:right w:sz="6" w:val="single" w:color="555555"/>
            </w:tcBorders>
            <w:vAlign w:val="center"/>
          </w:tcPr>
          <w:p>
            <w:pPr>
              <w:spacing w:after="0" w:line="252" w:lineRule="auto"/>
              <w:jc w:val="left"/>
            </w:pPr>
            <w:r>
              <w:rPr>
                <w:rFonts w:ascii="宋体" w:hAnsi="宋体" w:eastAsia="宋体"/>
                <w:b/>
                <w:sz w:val="16"/>
              </w:rPr>
              <w:t>研究方向</w:t>
            </w:r>
          </w:p>
        </w:tc>
        <w:tc>
          <w:tcPr>
            <w:tcW w:type="dxa" w:w="9298"/>
            <w:gridSpan w:val="5"/>
            <w:tcBorders>
              <w:top w:sz="6" w:val="single" w:color="555555"/>
              <w:left w:sz="6" w:val="single" w:color="555555"/>
              <w:bottom w:sz="6" w:val="single" w:color="555555"/>
              <w:right w:sz="6" w:val="single" w:color="555555"/>
            </w:tcBorders>
            <w:vAlign w:val="center"/>
          </w:tcPr>
          <w:p>
            <w:pPr>
              <w:spacing w:after="0" w:line="252" w:lineRule="auto"/>
              <w:jc w:val="left"/>
            </w:pPr>
            <w:r>
              <w:rPr>
                <w:rFonts w:ascii="宋体" w:hAnsi="宋体" w:eastAsia="宋体"/>
                <w:b w:val="0"/>
                <w:sz w:val="16"/>
              </w:rPr>
              <w:t>电力系统中长期规划、运行优化，新能源发展规划和消纳分析，多元储能规划优化与效益回收机制，低碳电力运行与发展，电力技术经济，电力市场，综合能源系统规划等。</w:t>
            </w:r>
          </w:p>
        </w:tc>
      </w:tr>
    </w:tbl>
    <w:tbl>
      <w:tblPr>
        <w:tblW w:type="auto" w:w="0"/>
        <w:jc w:val="center"/>
        <w:tblLook w:firstColumn="1" w:firstRow="1" w:lastColumn="0" w:lastRow="0" w:noHBand="0" w:noVBand="1" w:val="04A0"/>
      </w:tblPr>
      <w:tblGrid>
        <w:gridCol w:w="9922"/>
      </w:tblGrid>
      <w:tr>
        <w:tc>
          <w:tcPr>
            <w:tcW w:type="dxa" w:w="9922"/>
            <w:tcBorders>
              <w:top w:sz="6" w:val="single" w:color="555555"/>
              <w:left w:sz="6" w:val="single" w:color="555555"/>
              <w:bottom w:sz="6" w:val="single" w:color="555555"/>
              <w:right w:sz="6" w:val="single" w:color="555555"/>
            </w:tcBorders>
            <w:shd w:fill="F2F2F2"/>
            <w:vAlign w:val="center"/>
          </w:tcPr>
          <w:p>
            <w:pPr>
              <w:spacing w:after="0" w:line="252" w:lineRule="auto"/>
              <w:jc w:val="left"/>
            </w:pPr>
            <w:r>
              <w:rPr>
                <w:rFonts w:ascii="宋体" w:hAnsi="宋体" w:eastAsia="宋体"/>
                <w:b/>
                <w:sz w:val="22"/>
              </w:rPr>
              <w:t>二、项目研究目的</w:t>
            </w:r>
          </w:p>
        </w:tc>
      </w:tr>
    </w:tbl>
    <w:p>
      <w:pPr>
        <w:spacing w:line="283" w:lineRule="auto" w:after="70"/>
        <w:ind w:firstLine="420"/>
      </w:pPr>
      <w:r>
        <w:rPr>
          <w:rFonts w:ascii="宋体" w:hAnsi="宋体" w:eastAsia="宋体"/>
          <w:sz w:val="21"/>
        </w:rPr>
        <w:t>本项目面向高比例新能源接入条件下的新型电力系统电力电量平衡问题，拟将研究重心由一般性平衡机理分析进一步聚焦到“储能容量-功率协同优化配置”这一具有工程需求和市场价值的核心问题。随着风电、光伏占比不断提高，系统不仅需要解决某一时刻的功率平衡，还需要解决连续多小时、多日乃至典型季节尺度上的电量错配、调节能力不足和新能源消纳受限问题。储能作为连接新能源消纳、系统保供和电力市场收益的重要灵活性资源，其配置规模、功率容量比例、充放电策略和经济回收机制，已成为新能源基地、区域电网和园区综合能源规划中的关键决策问题。</w:t>
      </w:r>
    </w:p>
    <w:p>
      <w:pPr>
        <w:spacing w:line="283" w:lineRule="auto" w:after="70"/>
        <w:ind w:firstLine="420"/>
      </w:pPr>
      <w:r>
        <w:rPr>
          <w:rFonts w:ascii="宋体" w:hAnsi="宋体" w:eastAsia="宋体"/>
          <w:sz w:val="21"/>
        </w:rPr>
        <w:t>本项目的升级意义在于：不再停留于“判断系统是否平衡”或“比较单一储能容量下的运行曲线”，而是进一步构建面向高比例新能源场景的储能容量与功率双变量优化配置方法。项目拟综合考虑新能源弃电、供电缺额、净负荷波动、储能投资成本、运维成本、峰谷套利、辅助服务收益、容量支撑价值和碳减排价值等因素，形成可输出推荐储能配置方案的评价模型与求解流程。</w:t>
      </w:r>
    </w:p>
    <w:p>
      <w:pPr>
        <w:spacing w:line="283" w:lineRule="auto" w:after="70"/>
        <w:ind w:firstLine="420"/>
      </w:pPr>
      <w:r>
        <w:rPr>
          <w:rFonts w:ascii="宋体" w:hAnsi="宋体" w:eastAsia="宋体"/>
          <w:sz w:val="21"/>
        </w:rPr>
        <w:t>从市场价值看，新能源开发企业、电网规划部门、储能投资主体和园区综合能源运营方均需要回答“储能配多少才合适”“配多大功率、多大容量更经济”“储能能减少多少弃风弃光和缺电风险”“项目投资是否具备回收可能”等问题。本项目拟开发“新能源电力电量平衡与储能配置决策软件”原型，将算法、场景和可视化结果结合起来，服务储能项目论证、新能源消纳评估和源网荷储协同规划，增强成果的展示性、可迭代性和知识产权转化潜力。</w:t>
      </w:r>
    </w:p>
    <w:tbl>
      <w:tblPr>
        <w:tblW w:type="auto" w:w="0"/>
        <w:jc w:val="center"/>
        <w:tblLook w:firstColumn="1" w:firstRow="1" w:lastColumn="0" w:lastRow="0" w:noHBand="0" w:noVBand="1" w:val="04A0"/>
      </w:tblPr>
      <w:tblGrid>
        <w:gridCol w:w="9922"/>
      </w:tblGrid>
      <w:tr>
        <w:tc>
          <w:tcPr>
            <w:tcW w:type="dxa" w:w="9922"/>
            <w:tcBorders>
              <w:top w:sz="6" w:val="single" w:color="555555"/>
              <w:left w:sz="6" w:val="single" w:color="555555"/>
              <w:bottom w:sz="6" w:val="single" w:color="555555"/>
              <w:right w:sz="6" w:val="single" w:color="555555"/>
            </w:tcBorders>
            <w:shd w:fill="F2F2F2"/>
            <w:vAlign w:val="center"/>
          </w:tcPr>
          <w:p>
            <w:pPr>
              <w:spacing w:after="0" w:line="252" w:lineRule="auto"/>
              <w:jc w:val="left"/>
            </w:pPr>
            <w:r>
              <w:rPr>
                <w:rFonts w:ascii="宋体" w:hAnsi="宋体" w:eastAsia="宋体"/>
                <w:b/>
                <w:sz w:val="22"/>
              </w:rPr>
              <w:t>三、项目研究内容</w:t>
            </w:r>
          </w:p>
        </w:tc>
      </w:tr>
    </w:tbl>
    <w:p>
      <w:pPr>
        <w:spacing w:line="283" w:lineRule="auto" w:after="70"/>
        <w:ind w:firstLine="420"/>
      </w:pPr>
      <w:r>
        <w:rPr>
          <w:rFonts w:ascii="宋体" w:hAnsi="宋体" w:eastAsia="宋体"/>
          <w:sz w:val="21"/>
        </w:rPr>
        <w:t>1. 高比例新能源电力电量平衡机理分析：梳理风电、光伏出力随机性、波动性和反调峰特征，分析其对小时级功率平衡、连续时段电量平衡和系统灵活性需求的影响，形成“净负荷波动-调节缺口-储能需求”的问题分析框架。</w:t>
      </w:r>
    </w:p>
    <w:p>
      <w:pPr>
        <w:spacing w:line="283" w:lineRule="auto" w:after="70"/>
        <w:ind w:firstLine="420"/>
      </w:pPr>
      <w:r>
        <w:rPr>
          <w:rFonts w:ascii="宋体" w:hAnsi="宋体" w:eastAsia="宋体"/>
          <w:sz w:val="21"/>
        </w:rPr>
        <w:t>2. 多时间尺度时序平衡模型构建：建立包含负荷、风电、光伏、常规电源、储能和需求响应的时序仿真模型，按小时或典型日/典型周进行电力电量平衡计算，输出弃风弃光量、供电缺额、净负荷峰谷差、备用需求、储能充放电功率和 SOC 变化等指标。</w:t>
      </w:r>
    </w:p>
    <w:p>
      <w:pPr>
        <w:spacing w:line="283" w:lineRule="auto" w:after="70"/>
        <w:ind w:firstLine="420"/>
      </w:pPr>
      <w:r>
        <w:rPr>
          <w:rFonts w:ascii="宋体" w:hAnsi="宋体" w:eastAsia="宋体"/>
          <w:sz w:val="21"/>
        </w:rPr>
        <w:t>3. 储能容量-功率协同优化配置算法研究：以储能功率 MW 和储能容量 MWh 为核心决策变量，区分短时功率支撑和长时电量支撑作用，构建考虑 SOC 约束、充放电效率、功率限制、容量限制和循环寿命影响的储能运行模型。项目拟先采用枚举搜索形成可解释的基准结果，再进一步尝试遗传算法、粒子群算法或多目标优化方法，提高方案搜索效率和研究深度。</w:t>
      </w:r>
    </w:p>
    <w:p>
      <w:pPr>
        <w:spacing w:line="283" w:lineRule="auto" w:after="70"/>
        <w:ind w:firstLine="420"/>
      </w:pPr>
      <w:r>
        <w:rPr>
          <w:rFonts w:ascii="宋体" w:hAnsi="宋体" w:eastAsia="宋体"/>
          <w:sz w:val="21"/>
        </w:rPr>
        <w:t>4. 技术-经济-市场综合评价模型研究：构建兼顾新能源消纳率、缺电风险、系统运行成本、储能年化投资成本、峰谷套利收益、辅助服务收益、容量支撑价值和碳减排价值的综合目标函数。通过改变储能容量、功率、效率、成本、电价和新能源渗透率等参数，分析储能配置的边际收益和投资敏感性。</w:t>
      </w:r>
    </w:p>
    <w:p>
      <w:pPr>
        <w:spacing w:line="283" w:lineRule="auto" w:after="70"/>
        <w:ind w:firstLine="420"/>
      </w:pPr>
      <w:r>
        <w:rPr>
          <w:rFonts w:ascii="宋体" w:hAnsi="宋体" w:eastAsia="宋体"/>
          <w:sz w:val="21"/>
        </w:rPr>
        <w:t>5. 典型场景与市场化应用研究：设计新能源基地外送、区域电网保供和园区综合能源三类典型场景，分别关注弃风弃光、供电可靠性、削峰填谷和投资回收等目标，形成面向不同应用对象的储能配置建议。</w:t>
      </w:r>
    </w:p>
    <w:p>
      <w:pPr>
        <w:spacing w:line="283" w:lineRule="auto" w:after="70"/>
        <w:ind w:firstLine="420"/>
      </w:pPr>
      <w:r>
        <w:rPr>
          <w:rFonts w:ascii="宋体" w:hAnsi="宋体" w:eastAsia="宋体"/>
          <w:sz w:val="21"/>
        </w:rPr>
        <w:t>6. 决策支持软件原型开发：基于 Python、Streamlit、Matlab App Designer 或其他可视化工具，开发“新能源电力电量平衡与储能配置决策软件”原型，包含数据导入、参数设置、平衡计算、储能优化、方案对比、图表展示和报告导出等模块，为答辩展示、软著申请和专利实施例提供支撑。</w:t>
      </w:r>
    </w:p>
    <w:tbl>
      <w:tblPr>
        <w:tblW w:type="auto" w:w="0"/>
        <w:jc w:val="center"/>
        <w:tblLook w:firstColumn="1" w:firstRow="1" w:lastColumn="0" w:lastRow="0" w:noHBand="0" w:noVBand="1" w:val="04A0"/>
      </w:tblPr>
      <w:tblGrid>
        <w:gridCol w:w="9922"/>
      </w:tblGrid>
      <w:tr>
        <w:tc>
          <w:tcPr>
            <w:tcW w:type="dxa" w:w="9922"/>
            <w:tcBorders>
              <w:top w:sz="6" w:val="single" w:color="555555"/>
              <w:left w:sz="6" w:val="single" w:color="555555"/>
              <w:bottom w:sz="6" w:val="single" w:color="555555"/>
              <w:right w:sz="6" w:val="single" w:color="555555"/>
            </w:tcBorders>
            <w:shd w:fill="F2F2F2"/>
            <w:vAlign w:val="center"/>
          </w:tcPr>
          <w:p>
            <w:pPr>
              <w:spacing w:after="0" w:line="252" w:lineRule="auto"/>
              <w:jc w:val="left"/>
            </w:pPr>
            <w:r>
              <w:rPr>
                <w:rFonts w:ascii="宋体" w:hAnsi="宋体" w:eastAsia="宋体"/>
                <w:b/>
                <w:sz w:val="22"/>
              </w:rPr>
              <w:t>四、国内外研究现状和发展动态</w:t>
            </w:r>
          </w:p>
        </w:tc>
      </w:tr>
    </w:tbl>
    <w:p>
      <w:pPr>
        <w:spacing w:line="283" w:lineRule="auto" w:after="70"/>
        <w:ind w:firstLine="420"/>
      </w:pPr>
      <w:r>
        <w:rPr>
          <w:rFonts w:ascii="宋体" w:hAnsi="宋体" w:eastAsia="宋体"/>
          <w:sz w:val="21"/>
        </w:rPr>
        <w:t>国内方面，随着大型风光基地、分布式光伏和新型储能项目加快建设，电力系统平衡问题已从传统装机容量校核，发展为兼顾小时级功率平衡、连续时段电量平衡和灵活性资源配置的综合问题。国家电网、南方电网、科研院所和新能源企业已在新能源功率预测、源网荷储协同调度、储能参与调峰调频、需求响应和跨区互济等方向开展大量研究。储能配置研究也正在从单纯容量测算转向容量、功率、运行策略、经济收益和市场机制协同考虑。</w:t>
      </w:r>
    </w:p>
    <w:p>
      <w:pPr>
        <w:spacing w:line="283" w:lineRule="auto" w:after="70"/>
        <w:ind w:firstLine="420"/>
      </w:pPr>
      <w:r>
        <w:rPr>
          <w:rFonts w:ascii="宋体" w:hAnsi="宋体" w:eastAsia="宋体"/>
          <w:sz w:val="21"/>
        </w:rPr>
        <w:t>国际方面，欧美和澳大利亚等新能源占比较高的地区较早开展了高比例可再生能源系统的充裕性、灵活性和储能规划研究。相关研究通常结合生产模拟、时序优化、概率可靠性分析和多场景评估，比较不同新能源渗透率、负荷结构和储能规模下的供电可靠性、弃电水平、备用需求和系统运行成本。储能在电力市场中的角色也从削峰填谷逐步扩展到调频、备用、容量支撑和新能源消纳等多功能价值。</w:t>
      </w:r>
    </w:p>
    <w:p>
      <w:pPr>
        <w:spacing w:line="283" w:lineRule="auto" w:after="70"/>
        <w:ind w:firstLine="420"/>
      </w:pPr>
      <w:r>
        <w:rPr>
          <w:rFonts w:ascii="宋体" w:hAnsi="宋体" w:eastAsia="宋体"/>
          <w:sz w:val="21"/>
        </w:rPr>
        <w:t>发展动态上，储能配置优化研究呈现三个趋势：一是由静态容量比例配置转向 8760 小时连续时序模拟和多时间尺度平衡分析；二是由单目标技术评价转向技术、经济、可靠性、低碳和市场收益综合评价；三是由研究模型转向工程可用的决策支持工具。围绕上述趋势，本项目拟将储能容量-功率协同优化算法与轻量化软件原型结合，突出升级项目的研究深度和应用转化价值。</w:t>
      </w:r>
    </w:p>
    <w:tbl>
      <w:tblPr>
        <w:tblW w:type="auto" w:w="0"/>
        <w:jc w:val="center"/>
        <w:tblLook w:firstColumn="1" w:firstRow="1" w:lastColumn="0" w:lastRow="0" w:noHBand="0" w:noVBand="1" w:val="04A0"/>
      </w:tblPr>
      <w:tblGrid>
        <w:gridCol w:w="9922"/>
      </w:tblGrid>
      <w:tr>
        <w:tc>
          <w:tcPr>
            <w:tcW w:type="dxa" w:w="9922"/>
            <w:tcBorders>
              <w:top w:sz="6" w:val="single" w:color="555555"/>
              <w:left w:sz="6" w:val="single" w:color="555555"/>
              <w:bottom w:sz="6" w:val="single" w:color="555555"/>
              <w:right w:sz="6" w:val="single" w:color="555555"/>
            </w:tcBorders>
            <w:shd w:fill="F2F2F2"/>
            <w:vAlign w:val="center"/>
          </w:tcPr>
          <w:p>
            <w:pPr>
              <w:spacing w:after="0" w:line="252" w:lineRule="auto"/>
              <w:jc w:val="left"/>
            </w:pPr>
            <w:r>
              <w:rPr>
                <w:rFonts w:ascii="宋体" w:hAnsi="宋体" w:eastAsia="宋体"/>
                <w:b/>
                <w:sz w:val="22"/>
              </w:rPr>
              <w:t>五、研究路线及解决的主要问题</w:t>
            </w:r>
          </w:p>
        </w:tc>
      </w:tr>
    </w:tbl>
    <w:p>
      <w:pPr>
        <w:spacing w:line="283" w:lineRule="auto" w:after="70"/>
        <w:ind w:firstLine="420"/>
      </w:pPr>
      <w:r>
        <w:rPr>
          <w:rFonts w:ascii="宋体" w:hAnsi="宋体" w:eastAsia="宋体"/>
          <w:sz w:val="21"/>
        </w:rPr>
        <w:t>（一）技术研究路线：本项目采用“需求识别-机理分析-模型构建-算法设计-软件实现-市场价值评估-知识产权凝练”的研究路线。首先面向新能源消纳、储能投资和电网规划需求，明确储能配置优化的应用场景和评价目标；其次建立负荷、风光出力、常规电源、储能和需求响应的多时间尺度平衡模型；然后以储能功率和容量为双变量构建优化配置模型；之后通过枚举搜索、遗传算法或粒子群算法求解推荐方案；最后将模型封装为可演示的软件原型，并凝练专利申请点和软件著作权材料。</w:t>
      </w:r>
    </w:p>
    <w:p>
      <w:pPr>
        <w:spacing w:line="283" w:lineRule="auto" w:after="70"/>
        <w:ind w:firstLine="420"/>
      </w:pPr>
      <w:r>
        <w:rPr>
          <w:rFonts w:ascii="宋体" w:hAnsi="宋体" w:eastAsia="宋体"/>
          <w:sz w:val="21"/>
        </w:rPr>
        <w:t>（二）拟解决的主要问题：1. 高比例新能源出力与负荷时序错配导致的弃电和缺电问题；2. 储能功率和容量配置相互耦合、难以仅凭经验确定的问题；3. 储能技术价值与投资成本、市场收益之间难以统一评价的问题；4. 不同场景下储能配置目标差异明显、需要形成可迁移决策流程的问题；5. 大创成果从报告和简单仿真升级为算法、软件、专利和市场价值综合成果的问题。</w:t>
      </w:r>
    </w:p>
    <w:p>
      <w:pPr>
        <w:spacing w:line="283" w:lineRule="auto" w:after="70"/>
        <w:ind w:firstLine="420"/>
      </w:pPr>
      <w:r>
        <w:rPr>
          <w:rFonts w:ascii="宋体" w:hAnsi="宋体" w:eastAsia="宋体"/>
          <w:sz w:val="21"/>
        </w:rPr>
        <w:t>（三）核心算法流程：项目拟形成“数据输入-净负荷分析-调节缺口识别-储能运行仿真-容量功率寻优-综合价值评价-配置方案输出”的完整流程。该流程既可作为软件实现逻辑，也可作为发明专利申请的技术路线基础。</w:t>
      </w:r>
    </w:p>
    <w:tbl>
      <w:tblPr>
        <w:tblW w:type="auto" w:w="0"/>
        <w:jc w:val="center"/>
        <w:tblLook w:firstColumn="1" w:firstRow="1" w:lastColumn="0" w:lastRow="0" w:noHBand="0" w:noVBand="1" w:val="04A0"/>
      </w:tblPr>
      <w:tblGrid>
        <w:gridCol w:w="9922"/>
      </w:tblGrid>
      <w:tr>
        <w:tc>
          <w:tcPr>
            <w:tcW w:type="dxa" w:w="9922"/>
            <w:tcBorders>
              <w:top w:sz="6" w:val="single" w:color="555555"/>
              <w:left w:sz="6" w:val="single" w:color="555555"/>
              <w:bottom w:sz="6" w:val="single" w:color="555555"/>
              <w:right w:sz="6" w:val="single" w:color="555555"/>
            </w:tcBorders>
            <w:shd w:fill="F2F2F2"/>
            <w:vAlign w:val="center"/>
          </w:tcPr>
          <w:p>
            <w:pPr>
              <w:spacing w:after="0" w:line="252" w:lineRule="auto"/>
              <w:jc w:val="left"/>
            </w:pPr>
            <w:r>
              <w:rPr>
                <w:rFonts w:ascii="宋体" w:hAnsi="宋体" w:eastAsia="宋体"/>
                <w:b/>
                <w:sz w:val="22"/>
              </w:rPr>
              <w:t>六、项目创新及特色</w:t>
            </w:r>
          </w:p>
        </w:tc>
      </w:tr>
    </w:tbl>
    <w:p>
      <w:pPr>
        <w:spacing w:line="283" w:lineRule="auto" w:after="70"/>
        <w:ind w:firstLine="420"/>
      </w:pPr>
      <w:r>
        <w:rPr>
          <w:rFonts w:ascii="宋体" w:hAnsi="宋体" w:eastAsia="宋体"/>
          <w:sz w:val="21"/>
        </w:rPr>
        <w:t>1. 从“平衡结果分析”升级为“储能配置优化决策”：项目不只是判断某一场景下是否缺电或弃电，而是进一步给出储能功率和容量推荐方案，实现从仿真分析到优化决策的升级。</w:t>
      </w:r>
    </w:p>
    <w:p>
      <w:pPr>
        <w:spacing w:line="283" w:lineRule="auto" w:after="70"/>
        <w:ind w:firstLine="420"/>
      </w:pPr>
      <w:r>
        <w:rPr>
          <w:rFonts w:ascii="宋体" w:hAnsi="宋体" w:eastAsia="宋体"/>
          <w:sz w:val="21"/>
        </w:rPr>
        <w:t>2. 提出储能容量-功率双变量协同配置思路：项目区分 MW 功率支撑和 MWh 电量支撑作用，避免仅用单一储能容量评价系统平衡能力，能够更准确刻画短时波动平抑和长时电量转移需求。</w:t>
      </w:r>
    </w:p>
    <w:p>
      <w:pPr>
        <w:spacing w:line="283" w:lineRule="auto" w:after="70"/>
        <w:ind w:firstLine="420"/>
      </w:pPr>
      <w:r>
        <w:rPr>
          <w:rFonts w:ascii="宋体" w:hAnsi="宋体" w:eastAsia="宋体"/>
          <w:sz w:val="21"/>
        </w:rPr>
        <w:t>3. 构建技术-经济-市场一体化评价指标：项目将新能源消纳率、缺电风险、运行成本、储能投资、峰谷套利、辅助服务、容量支撑和碳减排价值纳入统一评价框架，突出储能从技术可行走向商业可行的研究重点。</w:t>
      </w:r>
    </w:p>
    <w:p>
      <w:pPr>
        <w:spacing w:line="283" w:lineRule="auto" w:after="70"/>
        <w:ind w:firstLine="420"/>
      </w:pPr>
      <w:r>
        <w:rPr>
          <w:rFonts w:ascii="宋体" w:hAnsi="宋体" w:eastAsia="宋体"/>
          <w:sz w:val="21"/>
        </w:rPr>
        <w:t>4. 形成面向多场景的配置推荐方法：项目将新能源基地外送、区域电网保供和园区综合能源纳入典型场景库，比较不同目标下储能配置结果的差异，使成果更接近实际规划和投资决策。</w:t>
      </w:r>
    </w:p>
    <w:p>
      <w:pPr>
        <w:spacing w:line="283" w:lineRule="auto" w:after="70"/>
        <w:ind w:firstLine="420"/>
      </w:pPr>
      <w:r>
        <w:rPr>
          <w:rFonts w:ascii="宋体" w:hAnsi="宋体" w:eastAsia="宋体"/>
          <w:sz w:val="21"/>
        </w:rPr>
        <w:t>5. 具备知识产权和成果转化潜力：项目拟形成储能容量-功率协同优化配置算法、软件原型、场景数据库和评价报告，可支撑“基于多时间尺度电力电量平衡的储能配置优化方法”类发明专利申请，以及软件著作权登记。</w:t>
      </w:r>
    </w:p>
    <w:tbl>
      <w:tblPr>
        <w:tblW w:type="auto" w:w="0"/>
        <w:jc w:val="center"/>
        <w:tblLook w:firstColumn="1" w:firstRow="1" w:lastColumn="0" w:lastRow="0" w:noHBand="0" w:noVBand="1" w:val="04A0"/>
      </w:tblPr>
      <w:tblGrid>
        <w:gridCol w:w="9922"/>
      </w:tblGrid>
      <w:tr>
        <w:tc>
          <w:tcPr>
            <w:tcW w:type="dxa" w:w="9922"/>
            <w:tcBorders>
              <w:top w:sz="6" w:val="single" w:color="555555"/>
              <w:left w:sz="6" w:val="single" w:color="555555"/>
              <w:bottom w:sz="6" w:val="single" w:color="555555"/>
              <w:right w:sz="6" w:val="single" w:color="555555"/>
            </w:tcBorders>
            <w:shd w:fill="F2F2F2"/>
            <w:vAlign w:val="center"/>
          </w:tcPr>
          <w:p>
            <w:pPr>
              <w:spacing w:after="0" w:line="252" w:lineRule="auto"/>
              <w:jc w:val="left"/>
            </w:pPr>
            <w:r>
              <w:rPr>
                <w:rFonts w:ascii="宋体" w:hAnsi="宋体" w:eastAsia="宋体"/>
                <w:b/>
                <w:sz w:val="22"/>
              </w:rPr>
              <w:t>七、项目综述</w:t>
            </w:r>
          </w:p>
        </w:tc>
      </w:tr>
    </w:tbl>
    <w:p>
      <w:pPr>
        <w:spacing w:line="283" w:lineRule="auto" w:after="70"/>
        <w:ind w:firstLine="420"/>
      </w:pPr>
      <w:r>
        <w:rPr>
          <w:rFonts w:ascii="宋体" w:hAnsi="宋体" w:eastAsia="宋体"/>
          <w:sz w:val="21"/>
        </w:rPr>
        <w:t>本项目以“高比例新能源的电力电量平衡问题”为题，研究对象并非新能源发电设备本身，而是高比例风光接入后电力系统如何在不同时间尺度上保持供需平衡、如何识别调节能力缺口、如何配置储能等灵活性资源。原有项目设想主要集中在机理分析、简化模型和仿真程序，能够完成本科阶段科研训练的基础目标，但若要体现升级意义和市场价值，还需要进一步聚焦到更具决策属性和知识产权潜力的具体问题。</w:t>
      </w:r>
    </w:p>
    <w:p>
      <w:pPr>
        <w:spacing w:line="283" w:lineRule="auto" w:after="70"/>
        <w:ind w:firstLine="420"/>
      </w:pPr>
      <w:r>
        <w:rPr>
          <w:rFonts w:ascii="宋体" w:hAnsi="宋体" w:eastAsia="宋体"/>
          <w:sz w:val="21"/>
        </w:rPr>
        <w:t>因此，本次升级将项目主线明确为“基于多时间尺度电力电量平衡的储能容量-功率协同优化配置方法与决策支持系统”。项目将从负荷和新能源时序数据出发，识别系统在不同时间尺度下的弃电、缺电和净负荷波动特征，进一步通过储能运行仿真和优化算法计算推荐配置方案，并以软件原型形式展示结果。</w:t>
      </w:r>
    </w:p>
    <w:p>
      <w:pPr>
        <w:spacing w:line="283" w:lineRule="auto" w:after="70"/>
        <w:ind w:firstLine="420"/>
      </w:pPr>
      <w:r>
        <w:rPr>
          <w:rFonts w:ascii="宋体" w:hAnsi="宋体" w:eastAsia="宋体"/>
          <w:sz w:val="21"/>
        </w:rPr>
        <w:t>该定位能够同时体现学术价值、工程价值和市场价值：学术上，可研究高比例新能源下多时间尺度平衡机理和储能优化模型；工程上，可服务新能源基地、园区综合能源和区域电网的储能配置论证；市场上，可回应储能投资主体对收益测算、容量选择和方案比较的实际需求；成果上，可形成报告、算法、软件、论文、软著和专利申请等多层次输出。</w:t>
      </w:r>
    </w:p>
    <w:tbl>
      <w:tblPr>
        <w:tblW w:type="auto" w:w="0"/>
        <w:jc w:val="center"/>
        <w:tblLook w:firstColumn="1" w:firstRow="1" w:lastColumn="0" w:lastRow="0" w:noHBand="0" w:noVBand="1" w:val="04A0"/>
      </w:tblPr>
      <w:tblGrid>
        <w:gridCol w:w="9922"/>
      </w:tblGrid>
      <w:tr>
        <w:tc>
          <w:tcPr>
            <w:tcW w:type="dxa" w:w="9922"/>
            <w:tcBorders>
              <w:top w:sz="6" w:val="single" w:color="555555"/>
              <w:left w:sz="6" w:val="single" w:color="555555"/>
              <w:bottom w:sz="6" w:val="single" w:color="555555"/>
              <w:right w:sz="6" w:val="single" w:color="555555"/>
            </w:tcBorders>
            <w:shd w:fill="F2F2F2"/>
            <w:vAlign w:val="center"/>
          </w:tcPr>
          <w:p>
            <w:pPr>
              <w:spacing w:after="0" w:line="252" w:lineRule="auto"/>
              <w:jc w:val="left"/>
            </w:pPr>
            <w:r>
              <w:rPr>
                <w:rFonts w:ascii="宋体" w:hAnsi="宋体" w:eastAsia="宋体"/>
                <w:b/>
                <w:sz w:val="22"/>
              </w:rPr>
              <w:t>八、项目实施方案</w:t>
            </w:r>
          </w:p>
        </w:tc>
      </w:tr>
    </w:tbl>
    <w:p>
      <w:pPr>
        <w:spacing w:line="283" w:lineRule="auto" w:after="70"/>
        <w:ind w:firstLine="420"/>
      </w:pPr>
      <w:r>
        <w:rPr>
          <w:rFonts w:ascii="宋体" w:hAnsi="宋体" w:eastAsia="宋体"/>
          <w:sz w:val="21"/>
        </w:rPr>
        <w:t>第一阶段（第1-2个月）：需求调研与文献综述。研读高比例新能源消纳、电力电量平衡、储能规划、源网荷储协同和电力市场相关文献，整理新能源基地、区域电网和园区综合能源三类应用需求，形成文献综述、市场需求分析和专利检索初步材料。</w:t>
      </w:r>
    </w:p>
    <w:p>
      <w:pPr>
        <w:spacing w:line="283" w:lineRule="auto" w:after="70"/>
        <w:ind w:firstLine="420"/>
      </w:pPr>
      <w:r>
        <w:rPr>
          <w:rFonts w:ascii="宋体" w:hAnsi="宋体" w:eastAsia="宋体"/>
          <w:sz w:val="21"/>
        </w:rPr>
        <w:t>第二阶段（第3-4个月）：场景库与数据模板建设。收集或构造典型负荷曲线、风电出力曲线、光伏出力曲线、电价曲线、储能成本参数和常规机组参数，建立可复用的数据模板；设计高新能源占比、晚高峰缺电、午间光伏富余、连续低风低光等典型场景。</w:t>
      </w:r>
    </w:p>
    <w:p>
      <w:pPr>
        <w:spacing w:line="283" w:lineRule="auto" w:after="70"/>
        <w:ind w:firstLine="420"/>
      </w:pPr>
      <w:r>
        <w:rPr>
          <w:rFonts w:ascii="宋体" w:hAnsi="宋体" w:eastAsia="宋体"/>
          <w:sz w:val="21"/>
        </w:rPr>
        <w:t>第三阶段（第5-6个月）：时序电力电量平衡模型开发。编写基础仿真程序，计算无储能和不同资源参与情况下的净负荷、弃风弃光、供电缺额、调节需求、运行成本等指标，验证模型逻辑和数据处理流程。</w:t>
      </w:r>
    </w:p>
    <w:p>
      <w:pPr>
        <w:spacing w:line="283" w:lineRule="auto" w:after="70"/>
        <w:ind w:firstLine="420"/>
      </w:pPr>
      <w:r>
        <w:rPr>
          <w:rFonts w:ascii="宋体" w:hAnsi="宋体" w:eastAsia="宋体"/>
          <w:sz w:val="21"/>
        </w:rPr>
        <w:t>第四阶段（第7-9个月）：储能容量-功率优化算法设计。以储能功率和容量为决策变量，建立综合目标函数和运行约束；先采用枚举搜索获得可解释的基准结果，再尝试遗传算法或粒子群算法进行优化求解；完成不同场景下储能配置敏感性分析。</w:t>
      </w:r>
    </w:p>
    <w:p>
      <w:pPr>
        <w:spacing w:line="283" w:lineRule="auto" w:after="70"/>
        <w:ind w:firstLine="420"/>
      </w:pPr>
      <w:r>
        <w:rPr>
          <w:rFonts w:ascii="宋体" w:hAnsi="宋体" w:eastAsia="宋体"/>
          <w:sz w:val="21"/>
        </w:rPr>
        <w:t>第五阶段（第10-11个月）：软件原型与市场价值评估。开发新能源电力电量平衡与储能配置决策软件原型，实现数据导入、参数设置、算法计算、方案对比、图表展示和报告导出功能；评估储能在消纳提升、削峰填谷、缺电风险降低和收益改善方面的价值。</w:t>
      </w:r>
    </w:p>
    <w:p>
      <w:pPr>
        <w:spacing w:line="283" w:lineRule="auto" w:after="70"/>
        <w:ind w:firstLine="420"/>
      </w:pPr>
      <w:r>
        <w:rPr>
          <w:rFonts w:ascii="宋体" w:hAnsi="宋体" w:eastAsia="宋体"/>
          <w:sz w:val="21"/>
        </w:rPr>
        <w:t>第六阶段（第12个月）：成果凝练与知识产权申报准备。整理项目研究报告、论文初稿、软件说明书、界面截图、演示视频和源代码；凝练发明专利技术方案，形成专利交底书初稿，并同步准备软件著作权登记材料。</w:t>
      </w:r>
    </w:p>
    <w:tbl>
      <w:tblPr>
        <w:tblW w:type="auto" w:w="0"/>
        <w:jc w:val="center"/>
        <w:tblLook w:firstColumn="1" w:firstRow="1" w:lastColumn="0" w:lastRow="0" w:noHBand="0" w:noVBand="1" w:val="04A0"/>
      </w:tblPr>
      <w:tblGrid>
        <w:gridCol w:w="9922"/>
      </w:tblGrid>
      <w:tr>
        <w:tc>
          <w:tcPr>
            <w:tcW w:type="dxa" w:w="9922"/>
            <w:tcBorders>
              <w:top w:sz="6" w:val="single" w:color="555555"/>
              <w:left w:sz="6" w:val="single" w:color="555555"/>
              <w:bottom w:sz="6" w:val="single" w:color="555555"/>
              <w:right w:sz="6" w:val="single" w:color="555555"/>
            </w:tcBorders>
            <w:shd w:fill="F2F2F2"/>
            <w:vAlign w:val="center"/>
          </w:tcPr>
          <w:p>
            <w:pPr>
              <w:spacing w:after="0" w:line="252" w:lineRule="auto"/>
              <w:jc w:val="left"/>
            </w:pPr>
            <w:r>
              <w:rPr>
                <w:rFonts w:ascii="宋体" w:hAnsi="宋体" w:eastAsia="宋体"/>
                <w:b/>
                <w:sz w:val="22"/>
              </w:rPr>
              <w:t>九、项目预期成果</w:t>
            </w:r>
          </w:p>
        </w:tc>
      </w:tr>
    </w:tbl>
    <w:p>
      <w:pPr>
        <w:spacing w:line="283" w:lineRule="auto" w:after="70"/>
        <w:ind w:firstLine="420"/>
      </w:pPr>
      <w:r>
        <w:rPr>
          <w:rFonts w:ascii="宋体" w:hAnsi="宋体" w:eastAsia="宋体"/>
          <w:sz w:val="21"/>
        </w:rPr>
        <w:t>1. 算法成果：形成一种基于多时间尺度电力电量平衡的储能容量-功率协同优化配置算法。算法能够根据负荷、风电、光伏、电价、储能成本和运行约束，输出推荐储能功率、推荐储能容量、充放电策略和综合评价指标。</w:t>
      </w:r>
    </w:p>
    <w:p>
      <w:pPr>
        <w:spacing w:line="283" w:lineRule="auto" w:after="70"/>
        <w:ind w:firstLine="420"/>
      </w:pPr>
      <w:r>
        <w:rPr>
          <w:rFonts w:ascii="宋体" w:hAnsi="宋体" w:eastAsia="宋体"/>
          <w:sz w:val="21"/>
        </w:rPr>
        <w:t>2. 模型成果：形成一套高比例新能源系统时序电力电量平衡模型，包括净负荷计算、弃风弃光判断、供电缺额识别、储能 SOC 更新、需求响应和常规电源补充等模块。</w:t>
      </w:r>
    </w:p>
    <w:p>
      <w:pPr>
        <w:spacing w:line="283" w:lineRule="auto" w:after="70"/>
        <w:ind w:firstLine="420"/>
      </w:pPr>
      <w:r>
        <w:rPr>
          <w:rFonts w:ascii="宋体" w:hAnsi="宋体" w:eastAsia="宋体"/>
          <w:sz w:val="21"/>
        </w:rPr>
        <w:t>3. 软件成果：开发“新能源电力电量平衡与储能配置决策系统 V1.0”原型。软件拟具备数据导入、场景选择、风光负荷曲线展示、储能参数设置、容量功率寻优、方案对比、指标统计、图表输出和报告导出等功能，可用于项目答辩和成果展示。</w:t>
      </w:r>
    </w:p>
    <w:p>
      <w:pPr>
        <w:spacing w:line="283" w:lineRule="auto" w:after="70"/>
        <w:ind w:firstLine="420"/>
      </w:pPr>
      <w:r>
        <w:rPr>
          <w:rFonts w:ascii="宋体" w:hAnsi="宋体" w:eastAsia="宋体"/>
          <w:sz w:val="21"/>
        </w:rPr>
        <w:t>4. 场景与数据成果：建立新能源基地外送、区域电网保供和园区综合能源三类典型场景库，形成负荷、风电、光伏、电价、储能成本和可调资源参数模板，为后续持续扩展真实数据和多区域互济分析打基础。</w:t>
      </w:r>
    </w:p>
    <w:p>
      <w:pPr>
        <w:spacing w:line="283" w:lineRule="auto" w:after="70"/>
        <w:ind w:firstLine="420"/>
      </w:pPr>
      <w:r>
        <w:rPr>
          <w:rFonts w:ascii="宋体" w:hAnsi="宋体" w:eastAsia="宋体"/>
          <w:sz w:val="21"/>
        </w:rPr>
        <w:t>5. 市场价值评估成果：形成储能配置投资与收益分析报告，比较不同储能配置下新能源消纳率、缺电风险、峰谷差、运行成本、收益水平和投资回收期变化，为储能项目论证和新能源消纳方案选择提供参考。</w:t>
      </w:r>
    </w:p>
    <w:p>
      <w:pPr>
        <w:spacing w:line="283" w:lineRule="auto" w:after="70"/>
        <w:ind w:firstLine="420"/>
      </w:pPr>
      <w:r>
        <w:rPr>
          <w:rFonts w:ascii="宋体" w:hAnsi="宋体" w:eastAsia="宋体"/>
          <w:sz w:val="21"/>
        </w:rPr>
        <w:t>6. 知识产权成果：争取完成一项发明专利申请材料，建议名称为“一种基于多时间尺度电力电量平衡的储能容量与功率协同优化配置方法”；同时争取完成软件著作权申请材料，建议软件名称为“新能源电力电量平衡与储能配置决策系统 V1.0”。</w:t>
      </w:r>
    </w:p>
    <w:p>
      <w:pPr>
        <w:spacing w:line="283" w:lineRule="auto" w:after="70"/>
        <w:ind w:firstLine="420"/>
      </w:pPr>
      <w:r>
        <w:rPr>
          <w:rFonts w:ascii="宋体" w:hAnsi="宋体" w:eastAsia="宋体"/>
          <w:sz w:val="21"/>
        </w:rPr>
        <w:t>7. 文档与论文成果：完成项目研究报告1份、软件使用说明书1份、答辩展示材料1套、论文初稿1篇、专利交底书初稿1份和软件演示材料若干。</w:t>
      </w:r>
    </w:p>
    <w:p>
      <w:pPr>
        <w:spacing w:line="283" w:lineRule="auto" w:after="70"/>
        <w:ind w:firstLine="420"/>
      </w:pPr>
      <w:r>
        <w:rPr>
          <w:rFonts w:ascii="宋体" w:hAnsi="宋体" w:eastAsia="宋体"/>
          <w:sz w:val="21"/>
        </w:rPr>
        <w:t>8. 团队能力成果：团队成员将在电力系统建模、储能规划、优化算法、Python/Matlab 编程、可视化软件开发、科研写作和知识产权申报等方面获得系统训练。</w:t>
      </w:r>
    </w:p>
    <w:tbl>
      <w:tblPr>
        <w:tblW w:type="auto" w:w="0"/>
        <w:jc w:val="center"/>
        <w:tblLook w:firstColumn="1" w:firstRow="1" w:lastColumn="0" w:lastRow="0" w:noHBand="0" w:noVBand="1" w:val="04A0"/>
      </w:tblPr>
      <w:tblGrid>
        <w:gridCol w:w="9922"/>
      </w:tblGrid>
      <w:tr>
        <w:tc>
          <w:tcPr>
            <w:tcW w:type="dxa" w:w="9922"/>
            <w:tcBorders>
              <w:top w:sz="6" w:val="single" w:color="555555"/>
              <w:left w:sz="6" w:val="single" w:color="555555"/>
              <w:bottom w:sz="6" w:val="single" w:color="555555"/>
              <w:right w:sz="6" w:val="single" w:color="555555"/>
            </w:tcBorders>
            <w:shd w:fill="F2F2F2"/>
            <w:vAlign w:val="center"/>
          </w:tcPr>
          <w:p>
            <w:pPr>
              <w:spacing w:after="0" w:line="252" w:lineRule="auto"/>
              <w:jc w:val="left"/>
            </w:pPr>
            <w:r>
              <w:rPr>
                <w:rFonts w:ascii="宋体" w:hAnsi="宋体" w:eastAsia="宋体"/>
                <w:b/>
                <w:sz w:val="22"/>
              </w:rPr>
              <w:t>十、经费预算</w:t>
            </w:r>
          </w:p>
        </w:tc>
      </w:tr>
    </w:tbl>
    <w:tbl>
      <w:tblPr>
        <w:tblW w:type="auto" w:w="0"/>
        <w:tblLook w:firstColumn="1" w:firstRow="1" w:lastColumn="0" w:lastRow="0" w:noHBand="0" w:noVBand="1" w:val="04A0"/>
        <w:jc w:val="center"/>
        <w:tblLayout w:type="fixed"/>
      </w:tblPr>
      <w:tblGrid>
        <w:gridCol w:w="3307"/>
        <w:gridCol w:w="3307"/>
        <w:gridCol w:w="3307"/>
      </w:tblGrid>
      <w:tr>
        <w:tc>
          <w:tcPr>
            <w:tcW w:type="dxa" w:w="1020"/>
            <w:tcBorders>
              <w:top w:sz="6" w:val="single" w:color="555555"/>
              <w:left w:sz="6" w:val="single" w:color="555555"/>
              <w:bottom w:sz="6" w:val="single" w:color="555555"/>
              <w:right w:sz="6" w:val="single" w:color="555555"/>
            </w:tcBorders>
            <w:vAlign w:val="center"/>
          </w:tcPr>
          <w:p>
            <w:pPr>
              <w:spacing w:after="0" w:line="252" w:lineRule="auto"/>
              <w:jc w:val="center"/>
            </w:pPr>
            <w:r>
              <w:rPr>
                <w:rFonts w:ascii="宋体" w:hAnsi="宋体" w:eastAsia="宋体"/>
                <w:b/>
                <w:sz w:val="18"/>
              </w:rPr>
              <w:t>开支类别</w:t>
            </w:r>
          </w:p>
        </w:tc>
        <w:tc>
          <w:tcPr>
            <w:tcW w:type="dxa" w:w="1247"/>
            <w:tcBorders>
              <w:top w:sz="6" w:val="single" w:color="555555"/>
              <w:left w:sz="6" w:val="single" w:color="555555"/>
              <w:bottom w:sz="6" w:val="single" w:color="555555"/>
              <w:right w:sz="6" w:val="single" w:color="555555"/>
            </w:tcBorders>
            <w:vAlign w:val="center"/>
          </w:tcPr>
          <w:p>
            <w:pPr>
              <w:spacing w:after="0" w:line="252" w:lineRule="auto"/>
              <w:jc w:val="center"/>
            </w:pPr>
            <w:r>
              <w:rPr>
                <w:rFonts w:ascii="宋体" w:hAnsi="宋体" w:eastAsia="宋体"/>
                <w:b/>
                <w:sz w:val="18"/>
              </w:rPr>
              <w:t>金额（元）</w:t>
            </w:r>
          </w:p>
        </w:tc>
        <w:tc>
          <w:tcPr>
            <w:tcW w:type="dxa" w:w="567"/>
            <w:tcBorders>
              <w:top w:sz="6" w:val="single" w:color="555555"/>
              <w:left w:sz="6" w:val="single" w:color="555555"/>
              <w:bottom w:sz="6" w:val="single" w:color="555555"/>
              <w:right w:sz="6" w:val="single" w:color="555555"/>
            </w:tcBorders>
            <w:vAlign w:val="center"/>
          </w:tcPr>
          <w:p>
            <w:pPr>
              <w:spacing w:after="0" w:line="252" w:lineRule="auto"/>
              <w:jc w:val="center"/>
            </w:pPr>
            <w:r>
              <w:rPr>
                <w:rFonts w:ascii="宋体" w:hAnsi="宋体" w:eastAsia="宋体"/>
                <w:b/>
                <w:sz w:val="18"/>
              </w:rPr>
              <w:t>说明</w:t>
            </w:r>
          </w:p>
        </w:tc>
      </w:tr>
      <w:tr>
        <w:tc>
          <w:tcPr>
            <w:tcW w:type="dxa" w:w="1020"/>
            <w:vAlign w:val="center"/>
            <w:tcBorders>
              <w:top w:sz="6" w:val="single" w:color="555555"/>
              <w:left w:sz="6" w:val="single" w:color="555555"/>
              <w:bottom w:sz="6" w:val="single" w:color="555555"/>
              <w:right w:sz="6" w:val="single" w:color="555555"/>
            </w:tcBorders>
          </w:tcPr>
          <w:p>
            <w:pPr>
              <w:spacing w:after="0" w:line="252" w:lineRule="auto"/>
              <w:jc w:val="center"/>
            </w:pPr>
            <w:r>
              <w:rPr>
                <w:rFonts w:ascii="宋体" w:hAnsi="宋体" w:eastAsia="宋体"/>
                <w:b w:val="0"/>
                <w:sz w:val="17"/>
              </w:rPr>
              <w:t>文献与知识产权费</w:t>
            </w:r>
          </w:p>
        </w:tc>
        <w:tc>
          <w:tcPr>
            <w:tcW w:type="dxa" w:w="1247"/>
            <w:vAlign w:val="center"/>
            <w:tcBorders>
              <w:top w:sz="6" w:val="single" w:color="555555"/>
              <w:left w:sz="6" w:val="single" w:color="555555"/>
              <w:bottom w:sz="6" w:val="single" w:color="555555"/>
              <w:right w:sz="6" w:val="single" w:color="555555"/>
            </w:tcBorders>
          </w:tcPr>
          <w:p>
            <w:pPr>
              <w:spacing w:after="0" w:line="252" w:lineRule="auto"/>
              <w:jc w:val="center"/>
            </w:pPr>
            <w:r>
              <w:rPr>
                <w:rFonts w:ascii="宋体" w:hAnsi="宋体" w:eastAsia="宋体"/>
                <w:b w:val="0"/>
                <w:sz w:val="17"/>
              </w:rPr>
              <w:t>500</w:t>
            </w:r>
          </w:p>
        </w:tc>
        <w:tc>
          <w:tcPr>
            <w:tcW w:type="dxa" w:w="567"/>
            <w:vAlign w:val="center"/>
            <w:tcBorders>
              <w:top w:sz="6" w:val="single" w:color="555555"/>
              <w:left w:sz="6" w:val="single" w:color="555555"/>
              <w:bottom w:sz="6" w:val="single" w:color="555555"/>
              <w:right w:sz="6" w:val="single" w:color="555555"/>
            </w:tcBorders>
          </w:tcPr>
          <w:p>
            <w:pPr>
              <w:spacing w:after="0" w:line="252" w:lineRule="auto"/>
              <w:jc w:val="left"/>
            </w:pPr>
            <w:r>
              <w:rPr>
                <w:rFonts w:ascii="宋体" w:hAnsi="宋体" w:eastAsia="宋体"/>
                <w:b w:val="0"/>
                <w:sz w:val="17"/>
              </w:rPr>
              <w:t>购买或获取新能源消纳、储能规划、电力市场、专利撰写等相关资料，支持文献调研、专利检索和成果凝练。</w:t>
            </w:r>
          </w:p>
        </w:tc>
      </w:tr>
      <w:tr>
        <w:tc>
          <w:tcPr>
            <w:tcW w:type="dxa" w:w="1020"/>
            <w:vAlign w:val="center"/>
            <w:tcBorders>
              <w:top w:sz="6" w:val="single" w:color="555555"/>
              <w:left w:sz="6" w:val="single" w:color="555555"/>
              <w:bottom w:sz="6" w:val="single" w:color="555555"/>
              <w:right w:sz="6" w:val="single" w:color="555555"/>
            </w:tcBorders>
          </w:tcPr>
          <w:p>
            <w:pPr>
              <w:spacing w:after="0" w:line="252" w:lineRule="auto"/>
              <w:jc w:val="center"/>
            </w:pPr>
            <w:r>
              <w:rPr>
                <w:rFonts w:ascii="宋体" w:hAnsi="宋体" w:eastAsia="宋体"/>
                <w:b w:val="0"/>
                <w:sz w:val="17"/>
              </w:rPr>
              <w:t>专用软件与计算云服务</w:t>
            </w:r>
          </w:p>
        </w:tc>
        <w:tc>
          <w:tcPr>
            <w:tcW w:type="dxa" w:w="1247"/>
            <w:vAlign w:val="center"/>
            <w:tcBorders>
              <w:top w:sz="6" w:val="single" w:color="555555"/>
              <w:left w:sz="6" w:val="single" w:color="555555"/>
              <w:bottom w:sz="6" w:val="single" w:color="555555"/>
              <w:right w:sz="6" w:val="single" w:color="555555"/>
            </w:tcBorders>
          </w:tcPr>
          <w:p>
            <w:pPr>
              <w:spacing w:after="0" w:line="252" w:lineRule="auto"/>
              <w:jc w:val="center"/>
            </w:pPr>
            <w:r>
              <w:rPr>
                <w:rFonts w:ascii="宋体" w:hAnsi="宋体" w:eastAsia="宋体"/>
                <w:b w:val="0"/>
                <w:sz w:val="17"/>
              </w:rPr>
              <w:t>600</w:t>
            </w:r>
          </w:p>
        </w:tc>
        <w:tc>
          <w:tcPr>
            <w:tcW w:type="dxa" w:w="567"/>
            <w:vAlign w:val="center"/>
            <w:tcBorders>
              <w:top w:sz="6" w:val="single" w:color="555555"/>
              <w:left w:sz="6" w:val="single" w:color="555555"/>
              <w:bottom w:sz="6" w:val="single" w:color="555555"/>
              <w:right w:sz="6" w:val="single" w:color="555555"/>
            </w:tcBorders>
          </w:tcPr>
          <w:p>
            <w:pPr>
              <w:spacing w:after="0" w:line="252" w:lineRule="auto"/>
              <w:jc w:val="left"/>
            </w:pPr>
            <w:r>
              <w:rPr>
                <w:rFonts w:ascii="宋体" w:hAnsi="宋体" w:eastAsia="宋体"/>
                <w:b w:val="0"/>
                <w:sz w:val="17"/>
              </w:rPr>
              <w:t>用于数据分析、优化算法测试、软件原型开发、结果可视化和必要的云端计算或工具服务。</w:t>
            </w:r>
          </w:p>
        </w:tc>
      </w:tr>
      <w:tr>
        <w:tc>
          <w:tcPr>
            <w:tcW w:type="dxa" w:w="1020"/>
            <w:vAlign w:val="center"/>
            <w:tcBorders>
              <w:top w:sz="6" w:val="single" w:color="555555"/>
              <w:left w:sz="6" w:val="single" w:color="555555"/>
              <w:bottom w:sz="6" w:val="single" w:color="555555"/>
              <w:right w:sz="6" w:val="single" w:color="555555"/>
            </w:tcBorders>
          </w:tcPr>
          <w:p>
            <w:pPr>
              <w:spacing w:after="0" w:line="252" w:lineRule="auto"/>
              <w:jc w:val="center"/>
            </w:pPr>
            <w:r>
              <w:rPr>
                <w:rFonts w:ascii="宋体" w:hAnsi="宋体" w:eastAsia="宋体"/>
                <w:b w:val="0"/>
                <w:sz w:val="17"/>
              </w:rPr>
              <w:t>数据采集与处理费</w:t>
            </w:r>
          </w:p>
        </w:tc>
        <w:tc>
          <w:tcPr>
            <w:tcW w:type="dxa" w:w="1247"/>
            <w:vAlign w:val="center"/>
            <w:tcBorders>
              <w:top w:sz="6" w:val="single" w:color="555555"/>
              <w:left w:sz="6" w:val="single" w:color="555555"/>
              <w:bottom w:sz="6" w:val="single" w:color="555555"/>
              <w:right w:sz="6" w:val="single" w:color="555555"/>
            </w:tcBorders>
          </w:tcPr>
          <w:p>
            <w:pPr>
              <w:spacing w:after="0" w:line="252" w:lineRule="auto"/>
              <w:jc w:val="center"/>
            </w:pPr>
            <w:r>
              <w:rPr>
                <w:rFonts w:ascii="宋体" w:hAnsi="宋体" w:eastAsia="宋体"/>
                <w:b w:val="0"/>
                <w:sz w:val="17"/>
              </w:rPr>
              <w:t>900</w:t>
            </w:r>
          </w:p>
        </w:tc>
        <w:tc>
          <w:tcPr>
            <w:tcW w:type="dxa" w:w="567"/>
            <w:vAlign w:val="center"/>
            <w:tcBorders>
              <w:top w:sz="6" w:val="single" w:color="555555"/>
              <w:left w:sz="6" w:val="single" w:color="555555"/>
              <w:bottom w:sz="6" w:val="single" w:color="555555"/>
              <w:right w:sz="6" w:val="single" w:color="555555"/>
            </w:tcBorders>
          </w:tcPr>
          <w:p>
            <w:pPr>
              <w:spacing w:after="0" w:line="252" w:lineRule="auto"/>
              <w:jc w:val="left"/>
            </w:pPr>
            <w:r>
              <w:rPr>
                <w:rFonts w:ascii="宋体" w:hAnsi="宋体" w:eastAsia="宋体"/>
                <w:b w:val="0"/>
                <w:sz w:val="17"/>
              </w:rPr>
              <w:t>整理公开负荷、风电、光伏、电价、储能成本和典型场景参数，完成数据清洗、场景库建设和结果处理。</w:t>
            </w:r>
          </w:p>
        </w:tc>
      </w:tr>
      <w:tr>
        <w:tc>
          <w:tcPr>
            <w:tcW w:type="dxa" w:w="1020"/>
            <w:vAlign w:val="center"/>
            <w:tcBorders>
              <w:top w:sz="6" w:val="single" w:color="555555"/>
              <w:left w:sz="6" w:val="single" w:color="555555"/>
              <w:bottom w:sz="6" w:val="single" w:color="555555"/>
              <w:right w:sz="6" w:val="single" w:color="555555"/>
            </w:tcBorders>
          </w:tcPr>
          <w:p>
            <w:pPr>
              <w:spacing w:after="0" w:line="252" w:lineRule="auto"/>
              <w:jc w:val="center"/>
            </w:pPr>
            <w:r>
              <w:rPr>
                <w:rFonts w:ascii="宋体" w:hAnsi="宋体" w:eastAsia="宋体"/>
                <w:b w:val="0"/>
                <w:sz w:val="17"/>
              </w:rPr>
              <w:t>学术交流与成果展示费</w:t>
            </w:r>
          </w:p>
        </w:tc>
        <w:tc>
          <w:tcPr>
            <w:tcW w:type="dxa" w:w="1247"/>
            <w:vAlign w:val="center"/>
            <w:tcBorders>
              <w:top w:sz="6" w:val="single" w:color="555555"/>
              <w:left w:sz="6" w:val="single" w:color="555555"/>
              <w:bottom w:sz="6" w:val="single" w:color="555555"/>
              <w:right w:sz="6" w:val="single" w:color="555555"/>
            </w:tcBorders>
          </w:tcPr>
          <w:p>
            <w:pPr>
              <w:spacing w:after="0" w:line="252" w:lineRule="auto"/>
              <w:jc w:val="center"/>
            </w:pPr>
            <w:r>
              <w:rPr>
                <w:rFonts w:ascii="宋体" w:hAnsi="宋体" w:eastAsia="宋体"/>
                <w:b w:val="0"/>
                <w:sz w:val="17"/>
              </w:rPr>
              <w:t>500</w:t>
            </w:r>
          </w:p>
        </w:tc>
        <w:tc>
          <w:tcPr>
            <w:tcW w:type="dxa" w:w="567"/>
            <w:vAlign w:val="center"/>
            <w:tcBorders>
              <w:top w:sz="6" w:val="single" w:color="555555"/>
              <w:left w:sz="6" w:val="single" w:color="555555"/>
              <w:bottom w:sz="6" w:val="single" w:color="555555"/>
              <w:right w:sz="6" w:val="single" w:color="555555"/>
            </w:tcBorders>
          </w:tcPr>
          <w:p>
            <w:pPr>
              <w:spacing w:after="0" w:line="252" w:lineRule="auto"/>
              <w:jc w:val="left"/>
            </w:pPr>
            <w:r>
              <w:rPr>
                <w:rFonts w:ascii="宋体" w:hAnsi="宋体" w:eastAsia="宋体"/>
                <w:b w:val="0"/>
                <w:sz w:val="17"/>
              </w:rPr>
              <w:t>用于校内外学术交流、项目展示、报告印刷、答辩材料制作、软件演示材料制作和成果汇报。</w:t>
            </w:r>
          </w:p>
        </w:tc>
      </w:tr>
      <w:tr>
        <w:tc>
          <w:tcPr>
            <w:tcW w:type="dxa" w:w="1020"/>
            <w:vAlign w:val="center"/>
            <w:tcBorders>
              <w:top w:sz="6" w:val="single" w:color="555555"/>
              <w:left w:sz="6" w:val="single" w:color="555555"/>
              <w:bottom w:sz="6" w:val="single" w:color="555555"/>
              <w:right w:sz="6" w:val="single" w:color="555555"/>
            </w:tcBorders>
          </w:tcPr>
          <w:p>
            <w:pPr>
              <w:spacing w:after="0" w:line="252" w:lineRule="auto"/>
              <w:jc w:val="center"/>
            </w:pPr>
            <w:r>
              <w:rPr>
                <w:rFonts w:ascii="宋体" w:hAnsi="宋体" w:eastAsia="宋体"/>
                <w:b w:val="0"/>
                <w:sz w:val="17"/>
              </w:rPr>
              <w:t>总计</w:t>
            </w:r>
          </w:p>
        </w:tc>
        <w:tc>
          <w:tcPr>
            <w:tcW w:type="dxa" w:w="1247"/>
            <w:vAlign w:val="center"/>
            <w:tcBorders>
              <w:top w:sz="6" w:val="single" w:color="555555"/>
              <w:left w:sz="6" w:val="single" w:color="555555"/>
              <w:bottom w:sz="6" w:val="single" w:color="555555"/>
              <w:right w:sz="6" w:val="single" w:color="555555"/>
            </w:tcBorders>
          </w:tcPr>
          <w:p>
            <w:pPr>
              <w:spacing w:after="0" w:line="252" w:lineRule="auto"/>
              <w:jc w:val="center"/>
            </w:pPr>
            <w:r>
              <w:rPr>
                <w:rFonts w:ascii="宋体" w:hAnsi="宋体" w:eastAsia="宋体"/>
                <w:b w:val="0"/>
                <w:sz w:val="17"/>
              </w:rPr>
              <w:t>2500</w:t>
            </w:r>
          </w:p>
        </w:tc>
        <w:tc>
          <w:tcPr>
            <w:tcW w:type="dxa" w:w="567"/>
            <w:vAlign w:val="center"/>
            <w:tcBorders>
              <w:top w:sz="6" w:val="single" w:color="555555"/>
              <w:left w:sz="6" w:val="single" w:color="555555"/>
              <w:bottom w:sz="6" w:val="single" w:color="555555"/>
              <w:right w:sz="6" w:val="single" w:color="555555"/>
            </w:tcBorders>
          </w:tcPr>
          <w:p>
            <w:pPr>
              <w:spacing w:after="0" w:line="252" w:lineRule="auto"/>
              <w:jc w:val="left"/>
            </w:pPr>
            <w:r>
              <w:rPr>
                <w:rFonts w:ascii="宋体" w:hAnsi="宋体" w:eastAsia="宋体"/>
                <w:b w:val="0"/>
                <w:sz w:val="17"/>
              </w:rPr>
              <w:t>人民币贰仟伍佰元整。</w:t>
            </w:r>
          </w:p>
        </w:tc>
      </w:tr>
    </w:tbl>
    <w:tbl>
      <w:tblPr>
        <w:tblW w:type="auto" w:w="0"/>
        <w:jc w:val="center"/>
        <w:tblLook w:firstColumn="1" w:firstRow="1" w:lastColumn="0" w:lastRow="0" w:noHBand="0" w:noVBand="1" w:val="04A0"/>
      </w:tblPr>
      <w:tblGrid>
        <w:gridCol w:w="9922"/>
      </w:tblGrid>
      <w:tr>
        <w:tc>
          <w:tcPr>
            <w:tcW w:type="dxa" w:w="9922"/>
            <w:tcBorders>
              <w:top w:sz="6" w:val="single" w:color="555555"/>
              <w:left w:sz="6" w:val="single" w:color="555555"/>
              <w:bottom w:sz="6" w:val="single" w:color="555555"/>
              <w:right w:sz="6" w:val="single" w:color="555555"/>
            </w:tcBorders>
            <w:shd w:fill="F2F2F2"/>
            <w:vAlign w:val="center"/>
          </w:tcPr>
          <w:p>
            <w:pPr>
              <w:spacing w:after="0" w:line="252" w:lineRule="auto"/>
              <w:jc w:val="left"/>
            </w:pPr>
            <w:r>
              <w:rPr>
                <w:rFonts w:ascii="宋体" w:hAnsi="宋体" w:eastAsia="宋体"/>
                <w:b/>
                <w:sz w:val="22"/>
              </w:rPr>
              <w:t>十一、审批情况</w:t>
            </w:r>
          </w:p>
        </w:tc>
      </w:tr>
    </w:tbl>
    <w:tbl>
      <w:tblPr>
        <w:tblW w:type="auto" w:w="0"/>
        <w:jc w:val="center"/>
        <w:tblLook w:firstColumn="1" w:firstRow="1" w:lastColumn="0" w:lastRow="0" w:noHBand="0" w:noVBand="1" w:val="04A0"/>
      </w:tblPr>
      <w:tblGrid>
        <w:gridCol w:w="4961"/>
        <w:gridCol w:w="4961"/>
      </w:tblGrid>
      <w:tr>
        <w:trPr>
          <w:trHeight w:val="1191"/>
        </w:trPr>
        <w:tc>
          <w:tcPr>
            <w:tcW w:type="dxa" w:w="4961"/>
            <w:tcBorders>
              <w:top w:sz="6" w:val="single" w:color="555555"/>
              <w:left w:sz="6" w:val="single" w:color="555555"/>
              <w:bottom w:sz="6" w:val="single" w:color="555555"/>
              <w:right w:sz="6" w:val="single" w:color="555555"/>
            </w:tcBorders>
            <w:vAlign w:val="center"/>
          </w:tcPr>
          <w:p>
            <w:pPr>
              <w:spacing w:after="0" w:line="252" w:lineRule="auto"/>
              <w:jc w:val="center"/>
            </w:pPr>
            <w:r>
              <w:rPr>
                <w:rFonts w:ascii="宋体" w:hAnsi="宋体" w:eastAsia="宋体"/>
                <w:b/>
                <w:sz w:val="20"/>
              </w:rPr>
              <w:t>指导教师意见</w:t>
            </w:r>
          </w:p>
        </w:tc>
        <w:tc>
          <w:tcPr>
            <w:tcW w:type="dxa" w:w="4961"/>
            <w:tcBorders>
              <w:top w:sz="6" w:val="single" w:color="555555"/>
              <w:left w:sz="6" w:val="single" w:color="555555"/>
              <w:bottom w:sz="6" w:val="single" w:color="555555"/>
              <w:right w:sz="6" w:val="single" w:color="555555"/>
            </w:tcBorders>
            <w:vAlign w:val="center"/>
          </w:tcPr>
          <w:p>
            <w:pPr>
              <w:spacing w:after="0" w:line="252" w:lineRule="auto"/>
              <w:jc w:val="center"/>
            </w:pPr>
            <w:r>
              <w:rPr>
                <w:rFonts w:ascii="宋体" w:hAnsi="宋体" w:eastAsia="宋体"/>
                <w:b w:val="0"/>
                <w:sz w:val="20"/>
              </w:rPr>
              <w:t>签名：</w:t>
            </w:r>
            <w:r>
              <w:rPr>
                <w:rFonts w:ascii="宋体" w:hAnsi="宋体" w:eastAsia="宋体"/>
              </w:rPr>
              <w:br/>
            </w:r>
            <w:r>
              <w:rPr>
                <w:rFonts w:ascii="宋体" w:hAnsi="宋体" w:eastAsia="宋体"/>
                <w:b w:val="0"/>
                <w:sz w:val="20"/>
              </w:rPr>
            </w:r>
            <w:r>
              <w:rPr>
                <w:rFonts w:ascii="宋体" w:hAnsi="宋体" w:eastAsia="宋体"/>
              </w:rPr>
              <w:br/>
            </w:r>
            <w:r>
              <w:rPr>
                <w:rFonts w:ascii="宋体" w:hAnsi="宋体" w:eastAsia="宋体"/>
                <w:b w:val="0"/>
                <w:sz w:val="20"/>
              </w:rPr>
              <w:t>年    月    日</w:t>
            </w:r>
          </w:p>
        </w:tc>
      </w:tr>
      <w:tr>
        <w:trPr>
          <w:trHeight w:val="1191"/>
        </w:trPr>
        <w:tc>
          <w:tcPr>
            <w:tcW w:type="dxa" w:w="4961"/>
            <w:tcBorders>
              <w:top w:sz="6" w:val="single" w:color="555555"/>
              <w:left w:sz="6" w:val="single" w:color="555555"/>
              <w:bottom w:sz="6" w:val="single" w:color="555555"/>
              <w:right w:sz="6" w:val="single" w:color="555555"/>
            </w:tcBorders>
            <w:vAlign w:val="center"/>
          </w:tcPr>
          <w:p>
            <w:pPr>
              <w:spacing w:after="0" w:line="252" w:lineRule="auto"/>
              <w:jc w:val="center"/>
            </w:pPr>
            <w:r>
              <w:rPr>
                <w:rFonts w:ascii="宋体" w:hAnsi="宋体" w:eastAsia="宋体"/>
                <w:b/>
                <w:sz w:val="20"/>
              </w:rPr>
              <w:t>院系意见</w:t>
            </w:r>
          </w:p>
        </w:tc>
        <w:tc>
          <w:tcPr>
            <w:tcW w:type="dxa" w:w="4961"/>
            <w:tcBorders>
              <w:top w:sz="6" w:val="single" w:color="555555"/>
              <w:left w:sz="6" w:val="single" w:color="555555"/>
              <w:bottom w:sz="6" w:val="single" w:color="555555"/>
              <w:right w:sz="6" w:val="single" w:color="555555"/>
            </w:tcBorders>
            <w:vAlign w:val="center"/>
          </w:tcPr>
          <w:p>
            <w:pPr>
              <w:spacing w:after="0" w:line="252" w:lineRule="auto"/>
              <w:jc w:val="center"/>
            </w:pPr>
            <w:r>
              <w:rPr>
                <w:rFonts w:ascii="宋体" w:hAnsi="宋体" w:eastAsia="宋体"/>
                <w:b w:val="0"/>
                <w:sz w:val="20"/>
              </w:rPr>
              <w:t>院（系）（章）签名：</w:t>
            </w:r>
            <w:r>
              <w:rPr>
                <w:rFonts w:ascii="宋体" w:hAnsi="宋体" w:eastAsia="宋体"/>
              </w:rPr>
              <w:br/>
            </w:r>
            <w:r>
              <w:rPr>
                <w:rFonts w:ascii="宋体" w:hAnsi="宋体" w:eastAsia="宋体"/>
                <w:b w:val="0"/>
                <w:sz w:val="20"/>
              </w:rPr>
            </w:r>
            <w:r>
              <w:rPr>
                <w:rFonts w:ascii="宋体" w:hAnsi="宋体" w:eastAsia="宋体"/>
              </w:rPr>
              <w:br/>
            </w:r>
            <w:r>
              <w:rPr>
                <w:rFonts w:ascii="宋体" w:hAnsi="宋体" w:eastAsia="宋体"/>
                <w:b w:val="0"/>
                <w:sz w:val="20"/>
              </w:rPr>
              <w:t>年    月    日</w:t>
            </w:r>
          </w:p>
        </w:tc>
      </w:tr>
      <w:tr>
        <w:trPr>
          <w:trHeight w:val="1191"/>
        </w:trPr>
        <w:tc>
          <w:tcPr>
            <w:tcW w:type="dxa" w:w="4961"/>
            <w:tcBorders>
              <w:top w:sz="6" w:val="single" w:color="555555"/>
              <w:left w:sz="6" w:val="single" w:color="555555"/>
              <w:bottom w:sz="6" w:val="single" w:color="555555"/>
              <w:right w:sz="6" w:val="single" w:color="555555"/>
            </w:tcBorders>
            <w:vAlign w:val="center"/>
          </w:tcPr>
          <w:p>
            <w:pPr>
              <w:spacing w:after="0" w:line="252" w:lineRule="auto"/>
              <w:jc w:val="center"/>
            </w:pPr>
            <w:r>
              <w:rPr>
                <w:rFonts w:ascii="宋体" w:hAnsi="宋体" w:eastAsia="宋体"/>
                <w:b/>
                <w:sz w:val="20"/>
              </w:rPr>
              <w:t>学校意见</w:t>
            </w:r>
          </w:p>
        </w:tc>
        <w:tc>
          <w:tcPr>
            <w:tcW w:type="dxa" w:w="4961"/>
            <w:tcBorders>
              <w:top w:sz="6" w:val="single" w:color="555555"/>
              <w:left w:sz="6" w:val="single" w:color="555555"/>
              <w:bottom w:sz="6" w:val="single" w:color="555555"/>
              <w:right w:sz="6" w:val="single" w:color="555555"/>
            </w:tcBorders>
            <w:vAlign w:val="center"/>
          </w:tcPr>
          <w:p>
            <w:pPr>
              <w:spacing w:after="0" w:line="252" w:lineRule="auto"/>
              <w:jc w:val="center"/>
            </w:pPr>
            <w:r>
              <w:rPr>
                <w:rFonts w:ascii="宋体" w:hAnsi="宋体" w:eastAsia="宋体"/>
                <w:b w:val="0"/>
                <w:sz w:val="20"/>
              </w:rPr>
              <w:t>本科生院（章）签名：</w:t>
            </w:r>
            <w:r>
              <w:rPr>
                <w:rFonts w:ascii="宋体" w:hAnsi="宋体" w:eastAsia="宋体"/>
              </w:rPr>
              <w:br/>
            </w:r>
            <w:r>
              <w:rPr>
                <w:rFonts w:ascii="宋体" w:hAnsi="宋体" w:eastAsia="宋体"/>
                <w:b w:val="0"/>
                <w:sz w:val="20"/>
              </w:rPr>
            </w:r>
            <w:r>
              <w:rPr>
                <w:rFonts w:ascii="宋体" w:hAnsi="宋体" w:eastAsia="宋体"/>
              </w:rPr>
              <w:br/>
            </w:r>
            <w:r>
              <w:rPr>
                <w:rFonts w:ascii="宋体" w:hAnsi="宋体" w:eastAsia="宋体"/>
                <w:b w:val="0"/>
                <w:sz w:val="20"/>
              </w:rPr>
              <w:t>年    月    日</w:t>
            </w:r>
          </w:p>
        </w:tc>
      </w:tr>
    </w:tbl>
    <w:sectPr w:rsidR="00FC693F" w:rsidRPr="0006063C" w:rsidSect="00034616">
      <w:pgSz w:w="11906" w:h="16838"/>
      <w:pgMar w:top="935" w:right="992" w:bottom="935" w:left="9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