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1DC6C">
      <w:p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访谈提纲设计：核心问题包括：</w:t>
      </w:r>
    </w:p>
    <w:p w14:paraId="21ADB727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公共图书馆AI虚拟馆员</w:t>
      </w:r>
      <w:r>
        <w:rPr>
          <w:rFonts w:hint="default"/>
          <w:lang w:val="en-US" w:eastAsia="zh-CN"/>
        </w:rPr>
        <w:t>有哪些?通常在什么情况下使用</w:t>
      </w:r>
      <w:r>
        <w:rPr>
          <w:rFonts w:hint="eastAsia"/>
          <w:lang w:val="en-US" w:eastAsia="zh-CN"/>
        </w:rPr>
        <w:t>公共图书馆AI虚拟馆员</w:t>
      </w:r>
      <w:r>
        <w:rPr>
          <w:rFonts w:hint="default"/>
          <w:lang w:val="en-US" w:eastAsia="zh-CN"/>
        </w:rPr>
        <w:t>?</w:t>
      </w:r>
    </w:p>
    <w:p w14:paraId="358DAB0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哪些因素导致在使用</w:t>
      </w:r>
      <w:r>
        <w:rPr>
          <w:rFonts w:hint="eastAsia"/>
          <w:lang w:val="en-US" w:eastAsia="zh-CN"/>
        </w:rPr>
        <w:t>公共图书馆AI虚拟馆员</w:t>
      </w:r>
      <w:r>
        <w:rPr>
          <w:rFonts w:hint="default"/>
          <w:lang w:val="en-US" w:eastAsia="zh-CN"/>
        </w:rPr>
        <w:t>后，出现中止使用的情况?</w:t>
      </w:r>
    </w:p>
    <w:p w14:paraId="31F0E79F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使用</w:t>
      </w:r>
      <w:r>
        <w:rPr>
          <w:rFonts w:hint="eastAsia"/>
          <w:lang w:val="en-US" w:eastAsia="zh-CN"/>
        </w:rPr>
        <w:t>公共图书馆AI虚拟馆员</w:t>
      </w:r>
      <w:r>
        <w:rPr>
          <w:rFonts w:hint="default"/>
          <w:lang w:val="en-US" w:eastAsia="zh-CN"/>
        </w:rPr>
        <w:t>时，是否遇到不满意的地方?不满意的地方是否会导致中止使用?</w:t>
      </w:r>
    </w:p>
    <w:p w14:paraId="0A5191F2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在中止使用</w:t>
      </w:r>
      <w:r>
        <w:rPr>
          <w:rFonts w:hint="eastAsia"/>
          <w:lang w:val="en-US" w:eastAsia="zh-CN"/>
        </w:rPr>
        <w:t>公共图书馆AI虚拟馆员</w:t>
      </w:r>
      <w:r>
        <w:rPr>
          <w:rFonts w:hint="default"/>
          <w:lang w:val="en-US" w:eastAsia="zh-CN"/>
        </w:rPr>
        <w:t>后，又再次选择使用的原因是什么?</w:t>
      </w:r>
    </w:p>
    <w:p w14:paraId="3EEC1AFE">
      <w:pPr>
        <w:numPr>
          <w:ilvl w:val="0"/>
          <w:numId w:val="1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放弃使用</w:t>
      </w:r>
      <w:r>
        <w:rPr>
          <w:rFonts w:hint="default"/>
          <w:lang w:val="en-US" w:eastAsia="zh-CN"/>
        </w:rPr>
        <w:t>现有的</w:t>
      </w:r>
      <w:r>
        <w:rPr>
          <w:rFonts w:hint="eastAsia"/>
          <w:lang w:val="en-US" w:eastAsia="zh-CN"/>
        </w:rPr>
        <w:t>公共图书馆AI虚拟馆员</w:t>
      </w:r>
      <w:r>
        <w:rPr>
          <w:rFonts w:hint="default"/>
          <w:lang w:val="en-US" w:eastAsia="zh-CN"/>
        </w:rPr>
        <w:t>服务会产生什么样的困扰或成本?</w:t>
      </w:r>
    </w:p>
    <w:p w14:paraId="7C1BFB1A">
      <w:p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样本要求：</w:t>
      </w:r>
    </w:p>
    <w:p w14:paraId="08BE132E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样本对象曾经使用过公共图书馆AI虚拟馆员，在数周以上但小于半年的时间内停止使用后又再次使用</w:t>
      </w:r>
    </w:p>
    <w:p w14:paraId="6C3B00DA">
      <w:pPr>
        <w:numPr>
          <w:ilvl w:val="0"/>
          <w:numId w:val="2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样本对象需具备良好的语言理解和表达能力，能够清晰阐述个人体验认知，且提供的信息具有足够的语义密度与研究价值</w:t>
      </w:r>
    </w:p>
    <w:p w14:paraId="279B3DAC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在样本结构上，遵循异质性抽样原则，控制样本对象在关键人口统计学变量(年龄层次和教育水平)及服务接触场景上均衡分布</w:t>
      </w:r>
    </w:p>
    <w:p w14:paraId="70A037E0"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访谈人数 30 左右</w:t>
      </w:r>
    </w:p>
    <w:p w14:paraId="78290A61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表：（需要阐述有多少条原始文本数据）</w:t>
      </w:r>
    </w:p>
    <w:p w14:paraId="28D3771F">
      <w:pPr>
        <w:ind w:left="0" w:leftChars="0" w:firstLine="240" w:firstLineChars="100"/>
        <w:rPr>
          <w:rFonts w:hint="eastAsia"/>
          <w:lang w:val="en-US" w:eastAsia="zh-CN"/>
        </w:rPr>
      </w:pPr>
    </w:p>
    <w:p w14:paraId="61FA3845">
      <w:pPr>
        <w:ind w:left="0" w:leftChars="0"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扎根参考这篇</w:t>
      </w:r>
    </w:p>
    <w:p w14:paraId="1AE8BC18">
      <w:pPr>
        <w:ind w:left="0" w:leftChars="0" w:firstLine="0" w:firstLineChars="0"/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</w:pP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[1]王春迎,李雪艳,王舒芳.公共数字文化服务用户间歇性中辍行为影响机理[J].图书馆学研究,2025,(08):94-104.DOI:10.15941/j.cnki.issn1001-0424.2025.08.004.</w:t>
      </w:r>
    </w:p>
    <w:p w14:paraId="30880537">
      <w:pPr>
        <w:ind w:left="0" w:leftChars="0" w:firstLine="240" w:firstLineChars="100"/>
        <w:rPr>
          <w:rFonts w:hint="eastAsia"/>
          <w:lang w:val="en-US" w:eastAsia="zh-CN"/>
        </w:rPr>
      </w:pPr>
    </w:p>
    <w:p w14:paraId="201B4221">
      <w:pPr>
        <w:ind w:left="0" w:leftChars="0" w:firstLine="240" w:firstLineChars="100"/>
        <w:rPr>
          <w:rStyle w:val="10"/>
          <w:rFonts w:hint="default" w:cs="Times New Roman"/>
          <w:kern w:val="2"/>
          <w:sz w:val="21"/>
          <w:szCs w:val="21"/>
          <w:vertAlign w:val="baseline"/>
          <w:lang w:val="en-US" w:eastAsia="zh-CN" w:bidi="ar-SA"/>
        </w:rPr>
      </w:pPr>
      <w:r>
        <w:rPr>
          <w:rFonts w:hint="eastAsia"/>
          <w:lang w:val="en-US" w:eastAsia="zh-CN"/>
        </w:rPr>
        <w:t>扎根目的是要找 ——</w:t>
      </w:r>
      <w:r>
        <w:rPr>
          <w:rStyle w:val="10"/>
          <w:rFonts w:hint="eastAsia" w:cs="Times New Roman"/>
          <w:kern w:val="2"/>
          <w:sz w:val="21"/>
          <w:szCs w:val="21"/>
          <w:vertAlign w:val="baseline"/>
          <w:lang w:val="en-US" w:eastAsia="zh-CN" w:bidi="ar-SA"/>
        </w:rPr>
        <w:t>影响用户间歇性中辍的条件变量</w:t>
      </w:r>
    </w:p>
    <w:p w14:paraId="5B205D83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——开放性编码 </w:t>
      </w:r>
    </w:p>
    <w:p w14:paraId="71A96B34">
      <w:pPr>
        <w:ind w:left="0" w:leftChars="0" w:firstLine="0" w:firstLineChars="0"/>
        <w:rPr>
          <w:rFonts w:hint="eastAsia"/>
          <w:lang w:val="en-US" w:eastAsia="zh-CN"/>
        </w:rPr>
      </w:pPr>
    </w:p>
    <w:p w14:paraId="72EE571C">
      <w:pPr>
        <w:ind w:left="0" w:leftChars="0" w:firstLine="240" w:firstLineChars="100"/>
        <w:rPr>
          <w:rFonts w:hint="eastAsia"/>
          <w:lang w:val="en-US" w:eastAsia="zh-CN"/>
        </w:rPr>
      </w:pP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698A98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</w:tcPr>
          <w:p w14:paraId="7E3A756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范畴</w:t>
            </w:r>
          </w:p>
        </w:tc>
        <w:tc>
          <w:tcPr>
            <w:tcW w:w="4261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</w:tcPr>
          <w:p w14:paraId="58FE792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初始概念</w:t>
            </w:r>
          </w:p>
        </w:tc>
      </w:tr>
      <w:tr w14:paraId="0A0BCF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315299C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7CE534D5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6FDBF6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5B41C33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left w:val="nil"/>
              <w:bottom w:val="nil"/>
              <w:right w:val="nil"/>
            </w:tcBorders>
          </w:tcPr>
          <w:p w14:paraId="6A5F33A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4108CF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7C0F61E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4261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2F29090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6C9565B5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主轴编码结果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  <w:gridCol w:w="2130"/>
      </w:tblGrid>
      <w:tr w14:paraId="53C0F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74706414">
            <w:pPr>
              <w:snapToGrid w:val="0"/>
              <w:spacing w:before="60" w:after="60"/>
              <w:ind w:firstLine="442" w:firstLineChars="20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2"/>
                <w:szCs w:val="22"/>
                <w:lang w:val="en-US" w:eastAsia="zh-CN"/>
              </w:rPr>
              <w:t>维度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021CED98">
            <w:pPr>
              <w:snapToGrid w:val="0"/>
              <w:spacing w:before="60" w:after="60"/>
              <w:ind w:firstLine="440" w:firstLineChars="20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 w:ascii="Times New Roman" w:hAnsi="宋体" w:eastAsia="Times New Roman"/>
                <w:b/>
                <w:bCs/>
                <w:sz w:val="22"/>
                <w:szCs w:val="22"/>
              </w:rPr>
              <w:t>范畴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012E8D79">
            <w:pPr>
              <w:snapToGrid w:val="0"/>
              <w:spacing w:before="60" w:after="60"/>
              <w:ind w:firstLine="442" w:firstLineChars="20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2"/>
                <w:szCs w:val="22"/>
                <w:lang w:val="en-US" w:eastAsia="zh-CN"/>
              </w:rPr>
              <w:t>范畴化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3C4243F3">
            <w:pPr>
              <w:snapToGrid w:val="0"/>
              <w:spacing w:before="60" w:after="60"/>
              <w:ind w:firstLine="440" w:firstLineChars="200"/>
              <w:jc w:val="center"/>
              <w:rPr>
                <w:rFonts w:hint="eastAsia" w:ascii="Times New Roman" w:hAnsi="宋体" w:eastAsia="Times New Roman"/>
                <w:b/>
                <w:bCs/>
                <w:sz w:val="22"/>
                <w:szCs w:val="22"/>
              </w:rPr>
            </w:pPr>
            <w:r>
              <w:rPr>
                <w:rFonts w:hint="eastAsia" w:ascii="Times New Roman" w:hAnsi="宋体" w:eastAsia="Times New Roman"/>
                <w:b/>
                <w:bCs/>
                <w:sz w:val="22"/>
                <w:szCs w:val="22"/>
              </w:rPr>
              <w:t>范畴内涵</w:t>
            </w:r>
          </w:p>
        </w:tc>
      </w:tr>
      <w:tr w14:paraId="6FE85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30D2A55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284A04F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6FC9669D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187C37F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362F10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73FA1B0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7B7E05BC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03CE1CB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5DEE0E1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1C4D9F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504179F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1694408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4850306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6CD2E84E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2DDCAA9A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选择性编码——维度主范畴范畴范畴内涵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2130"/>
        <w:gridCol w:w="2130"/>
      </w:tblGrid>
      <w:tr w14:paraId="7233C9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3E728B78">
            <w:pPr>
              <w:snapToGrid w:val="0"/>
              <w:spacing w:before="60" w:after="60"/>
              <w:ind w:firstLine="480" w:firstLineChars="20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典型关系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0F1E9788">
            <w:pPr>
              <w:snapToGrid w:val="0"/>
              <w:spacing w:before="60" w:after="60"/>
              <w:ind w:firstLine="442" w:firstLineChars="200"/>
              <w:jc w:val="center"/>
              <w:rPr>
                <w:rFonts w:hint="default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2"/>
                <w:szCs w:val="22"/>
                <w:lang w:val="en-US" w:eastAsia="zh-CN"/>
              </w:rPr>
              <w:t>关系结构</w:t>
            </w:r>
          </w:p>
        </w:tc>
        <w:tc>
          <w:tcPr>
            <w:tcW w:w="2130" w:type="dxa"/>
            <w:tcBorders>
              <w:top w:val="single" w:color="auto" w:sz="12" w:space="0"/>
              <w:left w:val="nil"/>
              <w:bottom w:val="single" w:color="auto" w:sz="8" w:space="0"/>
              <w:right w:val="nil"/>
            </w:tcBorders>
            <w:vAlign w:val="top"/>
          </w:tcPr>
          <w:p w14:paraId="7B01CED7">
            <w:pPr>
              <w:snapToGrid w:val="0"/>
              <w:spacing w:before="60" w:after="60"/>
              <w:ind w:firstLine="442" w:firstLineChars="200"/>
              <w:jc w:val="center"/>
              <w:rPr>
                <w:rFonts w:hint="eastAsia" w:eastAsia="宋体"/>
                <w:vertAlign w:val="baseline"/>
                <w:lang w:val="en-US" w:eastAsia="zh-CN"/>
              </w:rPr>
            </w:pPr>
            <w:r>
              <w:rPr>
                <w:rFonts w:hint="eastAsia" w:hAnsi="宋体"/>
                <w:b/>
                <w:bCs/>
                <w:sz w:val="22"/>
                <w:szCs w:val="22"/>
                <w:lang w:val="en-US" w:eastAsia="zh-CN"/>
              </w:rPr>
              <w:t>内涵</w:t>
            </w:r>
          </w:p>
        </w:tc>
      </w:tr>
      <w:tr w14:paraId="502C4A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52224806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3E63DFD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single" w:color="auto" w:sz="8" w:space="0"/>
              <w:left w:val="nil"/>
              <w:bottom w:val="nil"/>
              <w:right w:val="nil"/>
            </w:tcBorders>
          </w:tcPr>
          <w:p w14:paraId="4B3ECF97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28A4F5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62D34228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6775559B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nil"/>
              <w:right w:val="nil"/>
            </w:tcBorders>
          </w:tcPr>
          <w:p w14:paraId="0FC5ECBA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  <w:tr w14:paraId="547BB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39FA2E32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021E7FD0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2130" w:type="dxa"/>
            <w:tcBorders>
              <w:top w:val="nil"/>
              <w:left w:val="nil"/>
              <w:bottom w:val="single" w:color="auto" w:sz="12" w:space="0"/>
              <w:right w:val="nil"/>
            </w:tcBorders>
          </w:tcPr>
          <w:p w14:paraId="63567061">
            <w:pPr>
              <w:rPr>
                <w:rFonts w:hint="eastAsia"/>
                <w:vertAlign w:val="baseline"/>
                <w:lang w:val="en-US" w:eastAsia="zh-CN"/>
              </w:rPr>
            </w:pPr>
          </w:p>
        </w:tc>
      </w:tr>
    </w:tbl>
    <w:p w14:paraId="715E2FDF">
      <w:pPr>
        <w:ind w:left="0" w:leftChars="0" w:firstLine="240" w:firstLineChars="100"/>
        <w:rPr>
          <w:rFonts w:hint="default"/>
          <w:lang w:val="en-US" w:eastAsia="zh-CN"/>
        </w:rPr>
      </w:pPr>
    </w:p>
    <w:p w14:paraId="2346052C">
      <w:pPr>
        <w:ind w:left="0" w:leftChars="0" w:firstLine="24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然后在扎根基础上，以因素内容进行问卷调查——样本数量300以上，有效率85以上，样本的信效度要有检验</w:t>
      </w:r>
    </w:p>
    <w:p w14:paraId="11C29D63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然后进行fsQCA分析：</w:t>
      </w:r>
      <w:r>
        <w:rPr>
          <w:rFonts w:hint="eastAsia"/>
          <w:lang w:val="en-US" w:eastAsia="zh-CN"/>
        </w:rPr>
        <w:br w:type="textWrapping"/>
      </w:r>
      <w:r>
        <w:rPr>
          <w:rFonts w:hint="eastAsia"/>
          <w:lang w:val="en-US" w:eastAsia="zh-CN"/>
        </w:rPr>
        <w:t>变量定义表</w:t>
      </w:r>
    </w:p>
    <w:p w14:paraId="7BFA089B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校准锚点</w:t>
      </w:r>
    </w:p>
    <w:p w14:paraId="4CB58546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必要性分析</w:t>
      </w:r>
    </w:p>
    <w:p w14:paraId="11C1C7DC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真值表</w:t>
      </w:r>
    </w:p>
    <w:p w14:paraId="06D66649">
      <w:pPr>
        <w:ind w:left="0" w:leftChars="0" w:firstLine="240" w:firstLineChars="1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组态分析</w:t>
      </w:r>
    </w:p>
    <w:p w14:paraId="42206A70">
      <w:pPr>
        <w:ind w:left="0" w:leftChars="0" w:firstLine="240" w:firstLineChars="100"/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C5EE14A"/>
    <w:multiLevelType w:val="singleLevel"/>
    <w:tmpl w:val="9C5EE14A"/>
    <w:lvl w:ilvl="0" w:tentative="0">
      <w:start w:val="1"/>
      <w:numFmt w:val="decimal"/>
      <w:lvlText w:val="(%1)"/>
      <w:lvlJc w:val="left"/>
      <w:pPr>
        <w:tabs>
          <w:tab w:val="left" w:pos="312"/>
        </w:tabs>
      </w:pPr>
    </w:lvl>
  </w:abstractNum>
  <w:abstractNum w:abstractNumId="1">
    <w:nsid w:val="A6725481"/>
    <w:multiLevelType w:val="singleLevel"/>
    <w:tmpl w:val="A6725481"/>
    <w:lvl w:ilvl="0" w:tentative="0">
      <w:start w:val="1"/>
      <w:numFmt w:val="chineseCounting"/>
      <w:suff w:val="nothing"/>
      <w:lvlText w:val="第%1，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A411DD"/>
    <w:rsid w:val="0A1242A9"/>
    <w:rsid w:val="0A272279"/>
    <w:rsid w:val="0BA1761F"/>
    <w:rsid w:val="11585A9E"/>
    <w:rsid w:val="14F140C6"/>
    <w:rsid w:val="16D663C2"/>
    <w:rsid w:val="16FC43F4"/>
    <w:rsid w:val="17C8318A"/>
    <w:rsid w:val="193A02A4"/>
    <w:rsid w:val="1C035E99"/>
    <w:rsid w:val="1E5C4CC3"/>
    <w:rsid w:val="1ECF3050"/>
    <w:rsid w:val="24CA5E1C"/>
    <w:rsid w:val="28321E9F"/>
    <w:rsid w:val="294D32F7"/>
    <w:rsid w:val="2EF812F2"/>
    <w:rsid w:val="3B822B77"/>
    <w:rsid w:val="47983528"/>
    <w:rsid w:val="47C460CD"/>
    <w:rsid w:val="49DE3EDC"/>
    <w:rsid w:val="4DCF26F8"/>
    <w:rsid w:val="50715CFD"/>
    <w:rsid w:val="51E24360"/>
    <w:rsid w:val="5D0079B7"/>
    <w:rsid w:val="602A0550"/>
    <w:rsid w:val="604E4062"/>
    <w:rsid w:val="67E90FF4"/>
    <w:rsid w:val="6DD1662B"/>
    <w:rsid w:val="6F9920B9"/>
    <w:rsid w:val="7E3643BE"/>
    <w:rsid w:val="7EB6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  <w:spacing w:line="400" w:lineRule="exact"/>
      <w:ind w:firstLine="480" w:firstLineChars="200"/>
      <w:jc w:val="both"/>
    </w:pPr>
    <w:rPr>
      <w:rFonts w:ascii="Times New Roman" w:hAnsi="Times New Roman" w:eastAsia="宋体" w:cs="Times New Roman"/>
      <w:kern w:val="2"/>
      <w:sz w:val="24"/>
      <w:szCs w:val="22"/>
      <w:lang w:val="en-US" w:eastAsia="zh-CN" w:bidi="ar-SA"/>
    </w:rPr>
  </w:style>
  <w:style w:type="paragraph" w:styleId="2">
    <w:name w:val="heading 1"/>
    <w:next w:val="1"/>
    <w:link w:val="13"/>
    <w:qFormat/>
    <w:uiPriority w:val="0"/>
    <w:pPr>
      <w:keepNext/>
      <w:keepLines/>
      <w:spacing w:before="480" w:after="360" w:line="240" w:lineRule="auto"/>
      <w:jc w:val="center"/>
      <w:outlineLvl w:val="0"/>
    </w:pPr>
    <w:rPr>
      <w:rFonts w:ascii="Times New Roman" w:hAnsi="Times New Roman" w:eastAsia="黑体" w:cstheme="minorBidi"/>
      <w:bCs/>
      <w:kern w:val="44"/>
      <w:sz w:val="32"/>
      <w:szCs w:val="44"/>
    </w:rPr>
  </w:style>
  <w:style w:type="paragraph" w:styleId="3">
    <w:name w:val="heading 2"/>
    <w:next w:val="1"/>
    <w:link w:val="12"/>
    <w:semiHidden/>
    <w:unhideWhenUsed/>
    <w:qFormat/>
    <w:uiPriority w:val="0"/>
    <w:pPr>
      <w:keepNext/>
      <w:keepLines/>
      <w:spacing w:before="480" w:beforeLines="0" w:beforeAutospacing="0" w:after="120" w:afterLines="0" w:afterAutospacing="0" w:line="400" w:lineRule="exact"/>
      <w:jc w:val="left"/>
      <w:outlineLvl w:val="1"/>
    </w:pPr>
    <w:rPr>
      <w:rFonts w:ascii="Times New Roman" w:hAnsi="Times New Roman" w:eastAsia="黑体" w:cstheme="minorBidi"/>
      <w:sz w:val="28"/>
    </w:rPr>
  </w:style>
  <w:style w:type="paragraph" w:styleId="4">
    <w:name w:val="heading 3"/>
    <w:basedOn w:val="1"/>
    <w:next w:val="1"/>
    <w:link w:val="11"/>
    <w:semiHidden/>
    <w:unhideWhenUsed/>
    <w:qFormat/>
    <w:uiPriority w:val="0"/>
    <w:pPr>
      <w:spacing w:before="240" w:beforeAutospacing="0" w:after="120" w:afterAutospacing="0"/>
      <w:ind w:firstLine="0" w:firstLineChars="0"/>
      <w:jc w:val="left"/>
      <w:outlineLvl w:val="2"/>
    </w:pPr>
    <w:rPr>
      <w:rFonts w:hint="eastAsia" w:ascii="Times New Roman" w:hAnsi="Times New Roman" w:eastAsia="黑体" w:cs="宋体"/>
      <w:bCs/>
      <w:sz w:val="26"/>
      <w:szCs w:val="27"/>
      <w:lang w:bidi="ar"/>
    </w:rPr>
  </w:style>
  <w:style w:type="character" w:default="1" w:styleId="9">
    <w:name w:val="Default Paragraph Font"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endnote text"/>
    <w:basedOn w:val="1"/>
    <w:qFormat/>
    <w:uiPriority w:val="0"/>
    <w:pPr>
      <w:snapToGrid w:val="0"/>
      <w:jc w:val="left"/>
    </w:pPr>
  </w:style>
  <w:style w:type="paragraph" w:styleId="6">
    <w:name w:val="footnote text"/>
    <w:basedOn w:val="1"/>
    <w:link w:val="14"/>
    <w:uiPriority w:val="0"/>
    <w:pPr>
      <w:wordWrap w:val="0"/>
      <w:snapToGrid w:val="0"/>
      <w:spacing w:line="240" w:lineRule="auto"/>
      <w:ind w:hanging="360" w:hangingChars="150"/>
      <w:jc w:val="both"/>
    </w:pPr>
    <w:rPr>
      <w:rFonts w:ascii="Times New Roman" w:hAnsi="Times New Roman"/>
      <w:kern w:val="0"/>
      <w:sz w:val="18"/>
      <w:szCs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0">
    <w:name w:val="endnote reference"/>
    <w:basedOn w:val="9"/>
    <w:qFormat/>
    <w:uiPriority w:val="0"/>
    <w:rPr>
      <w:rFonts w:ascii="Times New Roman" w:hAnsi="Times New Roman" w:eastAsia="宋体"/>
      <w:sz w:val="24"/>
      <w:vertAlign w:val="superscript"/>
    </w:rPr>
  </w:style>
  <w:style w:type="character" w:customStyle="1" w:styleId="11">
    <w:name w:val="标题 3 Char"/>
    <w:link w:val="4"/>
    <w:qFormat/>
    <w:uiPriority w:val="0"/>
    <w:rPr>
      <w:rFonts w:hint="eastAsia" w:ascii="Times New Roman" w:hAnsi="Times New Roman" w:eastAsia="黑体" w:cs="宋体"/>
      <w:b/>
      <w:bCs/>
      <w:kern w:val="0"/>
      <w:sz w:val="24"/>
      <w:szCs w:val="27"/>
      <w:lang w:bidi="ar"/>
    </w:rPr>
  </w:style>
  <w:style w:type="character" w:customStyle="1" w:styleId="12">
    <w:name w:val="标题 2 字符"/>
    <w:basedOn w:val="9"/>
    <w:link w:val="3"/>
    <w:qFormat/>
    <w:uiPriority w:val="0"/>
    <w:rPr>
      <w:rFonts w:ascii="Times New Roman" w:hAnsi="Times New Roman" w:eastAsia="黑体" w:cstheme="majorBidi"/>
      <w:kern w:val="44"/>
      <w:sz w:val="28"/>
      <w:szCs w:val="24"/>
      <w:lang w:bidi="ar"/>
    </w:rPr>
  </w:style>
  <w:style w:type="character" w:customStyle="1" w:styleId="13">
    <w:name w:val="标题 1 Char"/>
    <w:link w:val="2"/>
    <w:qFormat/>
    <w:uiPriority w:val="9"/>
    <w:rPr>
      <w:rFonts w:ascii="Times New Roman" w:hAnsi="Times New Roman" w:eastAsia="黑体"/>
      <w:bCs/>
      <w:kern w:val="44"/>
      <w:sz w:val="32"/>
      <w:szCs w:val="44"/>
    </w:rPr>
  </w:style>
  <w:style w:type="character" w:customStyle="1" w:styleId="14">
    <w:name w:val="脚注文本 Char"/>
    <w:link w:val="6"/>
    <w:semiHidden/>
    <w:qFormat/>
    <w:uiPriority w:val="0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551</Words>
  <Characters>634</Characters>
  <Lines>0</Lines>
  <Paragraphs>0</Paragraphs>
  <TotalTime>31</TotalTime>
  <ScaleCrop>false</ScaleCrop>
  <LinksUpToDate>false</LinksUpToDate>
  <CharactersWithSpaces>638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2025-01-09T05:27:00Z</dcterms:created>
  <dc:creator>XIA</dc:creator>
  <cp:lastModifiedBy>HI，你</cp:lastModifiedBy>
  <dcterms:modified xsi:type="dcterms:W3CDTF">2026-03-22T07:02:16Z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92DDFE5F78124A70B55F7F4870C702C6_12</vt:lpwstr>
  </property>
  <property fmtid="{D5CDD505-2E9C-101B-9397-08002B2CF9AE}" pid="4" name="KSOTemplateDocerSaveRecord">
    <vt:lpwstr>eyJoZGlkIjoiNTU0ZmIwYTQ3NzlmZGUxZmU3Zjk0M2IyZTNmM2IxNjAiLCJ1c2VySWQiOiI1MDg1NjM0MDgifQ==</vt:lpwstr>
  </property>
</Properties>
</file>