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宋体"/>
          <w:sz w:val="24"/>
        </w:rPr>
        <w:t>本研究旨在深入探究公共图书馆AI虚拟馆员用户间歇性中辍行为的形成机理，通过整合质性研究与定量分析方法，构建一个全面解释用户使用中断现象的理论框架。随着人工智能技术在公共文化服务领域的广泛应用，AI虚拟馆员作为新型信息服务载体，其用户体验质量直接影响着智慧图书馆建设成效。然而，在实际应用过程中，许多用户表现出明显的间歇性使用特征，即在初次尝试后出现周期性的停用与再启用行为。这种非连续性的使用模式不仅影响了服务资源的有效利用，也揭示了人机交互过程中存在的深层次矛盾。为破解这一难题，本研究采用扎根理论结合模糊集定性比较分析（fsQCA）的方法论路径，通过对大量一手访谈资料的系统编码与多维数据分析，力图揭示导致用户间歇性中辍行为的关键前因条件及其复杂的组态效应。</w:t>
      </w:r>
    </w:p>
    <w:p>
      <w:r>
        <w:rPr>
          <w:rFonts w:ascii="Times New Roman" w:hAnsi="Times New Roman" w:eastAsia="宋体"/>
          <w:sz w:val="24"/>
        </w:rPr>
        <w:t>在理论建构方面，本研究严格遵循经典扎根理论的研究范式，摒弃预设理论假设，从原始数据出发进行逐级抽象归纳。开放式编码阶段共识别出100个初始概念，这些概念来源于25位具有实际使用经验的受访者所提供的丰富语料。根据概念所属领域，将其划分为个体心理、技术系统、服务环境三个主要维度，其中个体心理层面包含59个概念，技术系统层面23个，服务环境层面18个，而社会情境层面未发现有效编码。这一分布特征表明，用户的使用决策更多受到内在认知情感因素和技术功能特性的影响，而非外部社会压力。如图《开放式编码分布柱状图_修正.png》所示，个体心理层面的概念密度显著高于其他维度，反映出主观体验在人机交互中的核心地位。通过对这100个概念的持续比较与归类，最终提炼出9个基本范畴，分别是B1认知失调、B2情感疏离感、B3隐私安全担忧、B4功能局限性、B5信息可信度质疑、B6交互界面障碍、B7替代渠道便利、B8使用动机减弱以及B9社会规范影响，构成了主轴编码的核心框架。</w:t>
      </w:r>
    </w:p>
    <w:p>
      <w:r>
        <w:rPr>
          <w:rFonts w:ascii="Times New Roman" w:hAnsi="Times New Roman" w:eastAsia="宋体"/>
          <w:sz w:val="24"/>
        </w:rPr>
        <w:t>为验证理论模型的完备性与饱和度，本研究实施了严格的理论饱和检验程序。数据显示，随着受访者数量的增加，新增概念的数量呈现递减趋势，至第20位受访者时，原始概念总数达到100个，且新增概念数量降为零，标志着理论饱和点的到来。随后，研究团队继续对额外5位具有图书馆机器人使用经历的用户进行深度访谈，经编码分析确认未产生任何新的范畴或关系，从而证实了当前模型已实现理论饱和。这一过程的可视化结果见《理论饱和度检验图.png》，其中蓝色折线表示累计原始概念数，橙色柱状图表示每位受访者带来的新增概念数，红色虚线明确标示出S20处的理论饱和点。该检验结果为研究结论的可靠性提供了坚实保障，同时也确定了样本量的合理性边界。</w:t>
      </w:r>
    </w:p>
    <w:p>
      <w:r>
        <w:rPr>
          <w:rFonts w:ascii="Times New Roman" w:hAnsi="Times New Roman" w:eastAsia="宋体"/>
          <w:sz w:val="24"/>
        </w:rPr>
        <w:t>在主轴编码的基础上，本研究进一步揭示了各基本范畴之间的复杂关系结构。通过构建《主轴编码关系网络图_修正.png》，可以清晰观察到9个基本范畴之间存在的多对多关联、中介效应与调节效应。例如，B1认知失调不仅是独立的影响因素，还通过引发B2情感疏离感和B5信息可信度质疑间接作用于最终的行为结果，体现出显著的中介路径；同时，B9社会规范影响作为调节变量，能够强化或弱化其他因素的作用强度。这种复杂网络关系突破了传统线性因果模型的局限，更真实地反映了现实情境中多重力量交织作用的动态过程。此外，《主轴编码表》详细记录了每个基本范畴所包含的初始概念及其相互关系强度，为后续量化分析奠定了坚实基础。</w:t>
      </w:r>
    </w:p>
    <w:p>
      <w:r>
        <w:rPr>
          <w:rFonts w:ascii="Times New Roman" w:hAnsi="Times New Roman" w:eastAsia="宋体"/>
          <w:sz w:val="24"/>
        </w:rPr>
        <w:t>为进一步探索不同条件组合如何共同导致用户间歇性中辍行为，本研究采用fsQCA方法进行了组态分析。首先，描述性统计结果显示，整体量表均值为3.004，各维度均值介于0.411至0.428之间，表明样本数据具有较好的代表性与均衡性，详见《fsQCA描述性统计图_最终修正.png》。相关性矩阵热力图显示，各变量间的相关系数普遍较低，最高仅为0.216，说明不存在严重的多重共线性问题，适合开展组态分析。必要性分析表明，没有任何单一条件的一致性超过0.9，因此不存在充分必要条件，但“是否再次使用”的一致性达到0.743，显示出较强的预测能力。通过真值表分析与组态求解，共识别出15种不同的条件组合路径，每种路径的一致性均为1.0，覆盖度介于2.828至5.1之间，具体结果展示于《组态分析结果图.png》及《fsQCA分析结果表》中。值得注意的是，B2情感疏离感出现在13种组态中，成为最为核心的因素，凸显了情感体验在维持用户粘性方面的关键作用。</w:t>
      </w:r>
    </w:p>
    <w:p>
      <w:r>
        <w:rPr>
          <w:rFonts w:ascii="Times New Roman" w:hAnsi="Times New Roman" w:eastAsia="宋体"/>
          <w:sz w:val="24"/>
        </w:rPr>
        <w:t>综合上述分析，本研究最终构建了包含核心路径、调节变量与边界条件的选择性编码理论模型。如《选择性编码理论模型图_优化.png》所示，用户间歇性中辍行为是多种前因条件协同作用的结果，其中既包括直接驱动因素如B3隐私安全担忧和B4功能局限性，也包括间接影响路径如由B1认知失调经B2情感疏离感传导至行为结果的中介机制。同时，《变量关系路径图.png》进一步细化了各变量间的因果关系，明确标示出实线代表直接影响、虚线代表中介路径、点线代表调节效应。该模型特别强调了B10 AI素养水平和B11使用经验等个体差异变量的调节作用——高AI素养用户可能更能容忍系统的不完美，从而减弱认知失调带来的负面影响；而丰富的使用经验则有助于降低隐私安全担忧的程度。这一发现对于图书馆开展差异化用户培训和服务设计具有重要启示意义。</w:t>
      </w:r>
    </w:p>
    <w:p>
      <w:r>
        <w:rPr>
          <w:rFonts w:ascii="Times New Roman" w:hAnsi="Times New Roman" w:eastAsia="宋体"/>
          <w:sz w:val="24"/>
        </w:rPr>
        <w:t>研究结果表明，用户间歇性中辍行为并非由单一因素决定，而是多种条件在特定配置下共同作用的产物。既有“高功能局限性+高情感疏离感+低替代渠道便利”的技术主导型路径，也有“高认知失调+高隐私担忧+强社会规范影响”的心理社会复合型路径，呈现出明显的等效性与非对称性特征。这意味着不存在唯一的解决方案，图书馆管理者应根据目标用户群体的具体情况，采取针对性的干预策略。例如，针对年轻数字原住民，可重点优化算法透明度与个性化推荐精度；而对于老年用户，则需优先改善交互界面的易用性并提供充分的操作指导。总之，本研究通过严谨的方法论流程与丰富的数据分析，不仅深化了对AI虚拟馆员用户行为的理解，也为提升智能公共服务的可持续性提供了理论依据与实践指引。</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8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Arial" w:hAnsi="Arial"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80" w:after="200"/>
      <w:outlineLvl w:val="1"/>
    </w:pPr>
    <w:rPr>
      <w:rFonts w:asciiTheme="majorHAnsi" w:eastAsiaTheme="majorEastAsia" w:hAnsiTheme="majorHAnsi" w:cstheme="majorBidi" w:ascii="Arial" w:hAnsi="Arial"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Arial" w:hAnsi="Arial"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ascii="Arial" w:hAnsi="Arial" w:eastAsia="黑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120" w:after="120"/>
      <w:outlineLvl w:val="5"/>
    </w:pPr>
    <w:rPr>
      <w:rFonts w:asciiTheme="majorHAnsi" w:eastAsiaTheme="majorEastAsia" w:hAnsiTheme="majorHAnsi" w:cstheme="majorBidi" w:ascii="Arial" w:hAnsi="Arial" w:eastAsia="黑体"/>
      <w:b/>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宋体"/>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pPr>
    <w:rPr>
      <w:rFonts w:ascii="Consolas" w:hAnsi="Consolas" w:eastAsia="仿宋"/>
      <w:sz w:val="20"/>
    </w:rPr>
  </w:style>
  <w:style w:type="paragraph" w:customStyle="1" w:styleId="BlockQuote">
    <w:name w:val="Block Quote"/>
    <w:pPr>
      <w:spacing w:before="120" w:after="120"/>
      <w:ind w:left="720"/>
    </w:pPr>
    <w:rPr>
      <w:rFonts w:ascii="Times New Roman" w:hAnsi="Times New Roman" w:eastAsia="宋体"/>
      <w:i/>
      <w:color w:val="66666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