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sz w:val="48"/>
          <w:szCs w:val="48"/>
          <w:b/>
          <w:bCs/>
        </w:rPr>
        <w:t>用户界面交互系列工程拆解规格模板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从目标到像素：一套可被开发直接实现、被测试逐条验收的完备描述框架</w:t>
      </w:r>
    </w:p>
    <w:p/>
    <w:p/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文档类型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可复用的内部规格模板（自检清单 + 填写表）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适用阶段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需求评审 → 交互设计 → 视觉/前端开发 → 测试验收 → 上线复盘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适用对象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产品经理、交互设计师、视觉设计师、前端/客户端开发、测试、可访问性负责人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版本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v1.0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填写说明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“规格填写”列留白供填写；表格行可按本项目的真实界面数量增删复制</w:t>
            </w:r>
          </w:p>
        </w:tc>
      </w:tr>
    </w:tbl>
    <w:p/>
    <w:p>
      <w:r>
        <w:rPr>
          <w:rFonts w:eastAsia="思源黑体" w:ascii="Times New Roman" w:hAnsi="Times New Roman" w:cs="Times New Roman"/>
        </w:rPr>
        <w:t>免责声明：本文档为工程拆解框架，不替代 WCAG、WAI-ARIA、平台人机界面指南等规范原文；具体合规等级与验收阈值以项目合同、目标市场法规与团队规范为准。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 框架定位：完备描述到什么程度</w:t>
      </w:r>
    </w:p>
    <w:p>
      <w:r>
        <w:rPr>
          <w:rFonts w:eastAsia="思源黑体" w:ascii="Times New Roman" w:hAnsi="Times New Roman" w:cs="Times New Roman"/>
        </w:rPr>
        <w:t>“对一个交互工程达到尽可能完备的描述”，意思是任何两个合格的执行者（人或模型），拿着同一份文档能实现出在可观察行为上等价的产品。因此本模板不写视觉偏好，只写可验证的事实。</w:t>
      </w:r>
    </w:p>
    <w:p>
      <w:r>
        <w:rPr>
          <w:rFonts w:eastAsia="思源黑体" w:ascii="Times New Roman" w:hAnsi="Times New Roman" w:cs="Times New Roman"/>
        </w:rPr>
        <w:t>一条经验法则：凡是可以被代码断言、被屏幕录制比对、被屏幕阅读器朗读出来的内容，都要有一栏承载它。反之，形容词一律改写为指标。</w:t>
      </w:r>
    </w:p>
    <w:p>
      <w:r>
        <w:rPr>
          <w:rFonts w:eastAsia="思源黑体" w:ascii="Times New Roman" w:hAnsi="Times New Roman" w:cs="Times New Roman"/>
        </w:rPr>
        <w:t>建议三层递进使用：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L0 架构层（第 3 章）：先回答“这是谁的、什么场景下的、哪一段旅程”——界定边界，避免设计越界。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L1 结构层（第 4 章）：拆到界面、区域、组件、状态四层，回答“屏幕上有什么、它们之间是什么关系”。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L2 行为层（第 5—8 章）：拆到单次输入、单次反馈、单次状态迁移，回答“用户做完一件事，系统如何反应”。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2 八步拆解法（主线）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步骤</w:t>
            </w:r>
          </w:p>
        </w:tc>
        <w:tc>
          <w:tcPr>
            <w:tcW w:type="dxa" w:w="7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要回答的问题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① 目标与度量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业务目标 → 用户目标 → 北极星指标 → 反指标，写清“做成什么样算成功”。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② 角色与场景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用户角色、进入路径、前置条件、意图、预期收益，排除“假需求”。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③ 任务与流程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关键任务拆解、步骤数、决策点、异常分支、退回与撤销点。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④ 信息架构与导航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对象模型、命名、层级、导航路径、面包屑、深链接与返回一致性。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⑤ 界面/区域/组件/状态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四层结构，每层独立编号，组件只定义一次、多处以引用复用。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⑥ 交互行为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触发—约束—过程—结果—反馈—可撤销性，含手势、键盘、焦点、超时。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⑦ 内容与文案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真实文案、格式、空值、截断、多语言、语气与可访问名称。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⑧ 观感与动效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布局断点、视觉变量、动效曲线/时长、主题与适配，纯呈现层的完整约束。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3 范围与依赖矩阵（L0 架构层）</w:t>
      </w:r>
    </w:p>
    <w:p>
      <w:r>
        <w:rPr>
          <w:rFonts w:eastAsia="思源黑体" w:ascii="Times New Roman" w:hAnsi="Times New Roman" w:cs="Times New Roman"/>
        </w:rPr>
        <w:t>评审第一件事：这一版到底做什么、不做什么、靠谁供给。把边界写死，后续所有字段才有唯一归属。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4360"/>
        <w:gridCol w:w="300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4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系统/产品名称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内外部系统名、版本号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目标用户与角色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含能力差异：新手/专家、无障碍需求、网络/设备条件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目标平台与端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Web / iOS / Android / 桌面 / 小程序 / 车机 / 智能硬件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本次纳入范围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界面/流程清单，建议挂第 4 章编号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本次明确不做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同样重要，防止需求蔓延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上游依赖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接口负责人、契约版本、Mock 方案、就绪时间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下游依赖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埋点、风控、推送、客服系统等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合规与标准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目标 WCAG 等级、平台规范、数据/隐私/地域要求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已知约束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工期、性能预算、技术债、浏览器/系统版本下限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4 结构层拆解：界面 → 区域 → 组件 → 状态</w:t>
      </w:r>
    </w:p>
    <w:p>
      <w:r>
        <w:rPr>
          <w:rFonts w:eastAsia="思源黑体" w:ascii="Times New Roman" w:hAnsi="Times New Roman" w:cs="Times New Roman"/>
        </w:rPr>
        <w:t>这是整个框架的骨架。必须先完成结构拆解，再做行为拆解；否则行为描述会散落、重复且无法复用。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界面（Screen / Page / View）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4460"/>
        <w:gridCol w:w="3000"/>
      </w:tblGrid>
      <w:tr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界面编号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S-01（全工程唯一）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被流程、组件、用例反向引用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界面名称/类型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列表页/详情页/表单页/全屏弹层/抽屉/向导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访问路径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入口来源、URL/路由/深链接、来源参数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出现条件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何时显示、何时不可见、是否需要登录/权限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包含区域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按第 4.2 节编号罗列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包含组件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按第 4.3 节编号罗列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布局与断点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栅格、关键尺寸、横竖屏、适配策略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初始化数据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首屏数据来源、优先级、加载时序、骨架屏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离开条件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可返回/可关闭/拦截未保存、返回目标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埋点与实验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曝光、关键点击、漏斗节点、实验分桶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4.2 区域（Region / Section）</w:t>
      </w:r>
    </w:p>
    <w:p>
      <w:r>
        <w:rPr>
          <w:rFonts w:eastAsia="思源黑体" w:ascii="Times New Roman" w:hAnsi="Times New Roman" w:cs="Times New Roman"/>
        </w:rPr>
        <w:t>区域是界面内的语义区块，是“布局与可访问性地标”的落点。同一区域可跨界面复用。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4460"/>
        <w:gridCol w:w="3000"/>
      </w:tblGrid>
      <w:tr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区域编号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R-01-01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前缀为所属界面编号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语义角色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页眉/导航/主内容/侧栏/页脚/搜索/标签页组等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标题与可见性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是否有可见标题；不可见时给出可访问名称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视觉范围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边界、内边距、背景、阴影、分割线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响应式行为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各断点下的显隐、排序、换行规则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内含元素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组件编号清单，用于定位焦点与滚动目标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4.3 组件（Component / Control）</w:t>
      </w:r>
    </w:p>
    <w:p>
      <w:r>
        <w:rPr>
          <w:rFonts w:eastAsia="思源黑体" w:ascii="Times New Roman" w:hAnsi="Times New Roman" w:cs="Times New Roman"/>
        </w:rPr>
        <w:t>组件是复用的原子单位。定义一次，被所有界面引用；避免同组件多套规则。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4460"/>
        <w:gridCol w:w="3000"/>
      </w:tblGrid>
      <w:tr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4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组件编号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  <w:t>C-BTN-01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组件库唯一 ID，跨界面复用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组件族/类型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按钮、输入框、选择器、表格、弹层、导航项等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可访问语义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原生元素优先；自定义时标注角色与名称来源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视觉形态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尺寸、变体、图标、文字/图标位置关系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状态全集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默认/悬停/聚焦/激活/选中/按下/加载/禁用/错误/只读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子结构与层级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标签、必填标记、提示、输入区、计数、错误区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内容规则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最大长度、截断方式、空值显示、多语言策略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可配置项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尺寸/语义色/图标/loading 位置等对外 API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数据契约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字段名、类型、枚举、空/边界值、本地化键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可测试标识</w:t>
            </w:r>
          </w:p>
        </w:tc>
        <w:tc>
          <w:tcPr>
            <w:tcW w:type="dxa" w:w="4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稳定的 test-id 命名规则，不依赖文案或坐标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4.4 状态（State）</w:t>
      </w:r>
    </w:p>
    <w:p>
      <w:r>
        <w:rPr>
          <w:rFonts w:eastAsia="思源黑体" w:ascii="Times New Roman" w:hAnsi="Times New Roman" w:cs="Times New Roman"/>
        </w:rPr>
        <w:t>状态是最容易被遗漏、也最影响“体感”的一层。要求穷举：每个组件/界面都必须列出完整状态集合，并对每个状态定义视觉与文案。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760"/>
        <w:gridCol w:w="500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5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状态编号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ST-01</w:t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状态唯一 ID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状态名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默认/悬停/聚焦/按下/激活/选中/加载/成功/失败/空/禁用/只读/部分选中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触发条件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如何进入该状态（事件/数据/权限）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视觉表达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色、字重、透明度、图标、占位形态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可访问表达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ARIA 状态/属性、名称是否变化、提示语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焦点与可达性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是否可获焦、是否可点击、Tab 顺序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文案与富余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文案、字号下限、最小点击区、长文案/小屏表现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互斥与共存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与哪些状态互斥，哪些可叠加</w:t>
            </w:r>
          </w:p>
        </w:tc>
      </w:tr>
    </w:tbl>
    <w:p>
      <w:r>
        <w:rPr>
          <w:rFonts w:eastAsia="思源黑体" w:ascii="Times New Roman" w:hAnsi="Times New Roman" w:cs="Times New Roman"/>
        </w:rPr>
        <w:t>提示：状态集合建议先在组件层统一定义（见第 9 章组件状态速查表），再在界面层仅描述“本界面实际用到哪几个、具体文案是什么”，避免重复。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5 行为层拆解：触发—约束—过程—结果—反馈—可撤销</w:t>
      </w:r>
    </w:p>
    <w:p>
      <w:r>
        <w:rPr>
          <w:rFonts w:eastAsia="思源黑体" w:ascii="Times New Roman" w:hAnsi="Times New Roman" w:cs="Times New Roman"/>
        </w:rPr>
        <w:t>每个交互行为独立成行，一行 = 一次用户动作。事件本身也要编号并被流程引用。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交互行为明细表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760"/>
        <w:gridCol w:w="48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4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事件编号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E-01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全工程唯一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所属界面/组件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引用 S-/R-/C- 编号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触发方式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单击/双击/长按/悬停/聚焦/失焦/键盘/语音/手势/传感器/定时器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触发对象与热区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实际可触发区域，可与视觉边界不同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触发参数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坐标、位移、速度、按键组合、携带数据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前置条件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何时可触发，否则的表现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约束与校验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长度、格式、权限、并发、频率限制、可重复触发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过程状态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同步/异步、节流、loading 起止点、可中断/可取消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结果状态迁移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成功/失败/超时分别转入哪个状态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反馈（见 5.2）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视觉/听觉/触觉/状态栏各是什么、何时消失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焦点迁移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失焦去哪、返回时焦点回哪里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可撤销性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是否可撤销/可重做、窗口期、撤销方式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异常分支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网络/权限/冲突/版本过期/重复提交的处理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埋点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事件名、属性、触发时机、去重规则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5.2 反馈设计（Feedback）</w:t>
      </w:r>
    </w:p>
    <w:p>
      <w:r>
        <w:rPr>
          <w:rFonts w:eastAsia="思源黑体" w:ascii="Times New Roman" w:hAnsi="Times New Roman" w:cs="Times New Roman"/>
        </w:rPr>
        <w:t>反馈 = 系统状态的可见性。每条反馈都要定义“类型—载体—时长—可关闭性”，并明确告知延迟的边界。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2760"/>
        <w:gridCol w:w="490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4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反馈编号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F-01</w:t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可被事件与状态引用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触发事件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对应 E- 编号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反馈类型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行内提示/状态栏/轻提示/确认弹层/向导/完整页面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信息层级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成功/信息/警告/错误/破坏性确认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文案与数据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主文案、补充信息、动态数据格式、截断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载体规范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颜色、图标、位置、最大宽度、停留/自动消失时长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交互要求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是否可关闭、是否阻塞、是否需确认、按钮文案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无障碍要求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礼貌度（polite/assertive）、是否打断读屏、聚焦处理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降级策略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900"/>
          </w:tcPr>
          <w:p>
            <w:r>
              <w:rPr>
                <w:rFonts w:eastAsia="思源黑体" w:ascii="Times New Roman" w:hAnsi="Times New Roman" w:cs="Times New Roman"/>
              </w:rPr>
              <w:t>读屏无语音/老年机无震动/横竖屏/超大字体的表现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5.3 流程与状态迁移图（文字版）</w:t>
      </w:r>
    </w:p>
    <w:p>
      <w:r>
        <w:rPr>
          <w:rFonts w:eastAsia="思源黑体" w:ascii="Times New Roman" w:hAnsi="Times New Roman" w:cs="Times New Roman"/>
        </w:rPr>
        <w:t>无法画图的阶段，用“起点 → 触发 → 分支 → 终点”四段式描述；进入开发阶段必须配状态图。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7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流程编号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P-01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流程名称与目标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参与者与前置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主成功路径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按步骤列：步骤号｜动作｜界面变化｜反馈｜数据变化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替代路径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各分支的进入条件与走向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异常与恢复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每类异常的提示与可重试性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退出与返回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各节点的退出方式、返回落点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关键指标埋点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漏斗节点与对应事件编号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6 输入通道拆解（多模态）</w:t>
      </w:r>
    </w:p>
    <w:p>
      <w:r>
        <w:rPr>
          <w:rFonts w:eastAsia="思源黑体" w:ascii="Times New Roman" w:hAnsi="Times New Roman" w:cs="Times New Roman"/>
        </w:rPr>
        <w:t>同一功能要在不同输入方式下“等价可用”。逐通道列出支持程度，未支持的必须写原因与降级。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5160"/>
        <w:gridCol w:w="250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通道</w:t>
            </w:r>
          </w:p>
        </w:tc>
        <w:tc>
          <w:tcPr>
            <w:tcW w:type="dxa" w:w="5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规格填写（含不支持的显式声明）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鼠标/触控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单击、双击、长按、拖拽、滑动、捏合、边缘手势及替代方案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键盘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Tab 顺序、Enter/Space、方向键、Home/End、Esc、快捷键冲突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焦点管理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初始焦点、焦点陷阱、失焦恢复、固定元素遮挡校验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语音/手柄/眼动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目标平台能力差异与最低支持等级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屏幕阅读器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角色、名称、值、状态变化的通报策略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缩放与字体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200% 缩放、超大字体、横竖屏的可用性与布局底线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7 内容与文案层</w:t>
      </w:r>
    </w:p>
    <w:p>
      <w:r>
        <w:rPr>
          <w:rFonts w:eastAsia="思源黑体" w:ascii="Times New Roman" w:hAnsi="Times New Roman" w:cs="Times New Roman"/>
        </w:rPr>
        <w:t>内容本身是可执行规格：写错一个占位符就多一个待确认项。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3560"/>
        <w:gridCol w:w="410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字段</w:t>
            </w:r>
          </w:p>
        </w:tc>
        <w:tc>
          <w:tcPr>
            <w:tcW w:type="dxa" w:w="3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4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文案编号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与组件/状态绑定，支持多语言回溯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显示位置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所在界面/组件与上下文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文案原文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真实文案，不用 Lorem ipsum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格式与变量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日期、金额、数字、单位、截断、缺失值规则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语气与术语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人称、敬语、术语表引用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复数与性别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目标语言的复数与语法性别规则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可访问名称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屏幕阅读器朗读文本，可与视觉文案不同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本地化要求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4100"/>
          </w:tcPr>
          <w:p>
            <w:r>
              <w:rPr>
                <w:rFonts w:eastAsia="思源黑体" w:ascii="Times New Roman" w:hAnsi="Times New Roman" w:cs="Times New Roman"/>
              </w:rPr>
              <w:t>字符数上限、RTL、特殊语言测试要求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8 视觉与动效层</w:t>
      </w:r>
    </w:p>
    <w:p>
      <w:r>
        <w:rPr>
          <w:rFonts w:eastAsia="思源黑体" w:ascii="Times New Roman" w:hAnsi="Times New Roman" w:cs="Times New Roman"/>
        </w:rPr>
        <w:t>观感层要“可声明”：所有相对关系用设计令牌（token）表达，杜绝散落色值。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5160"/>
        <w:gridCol w:w="250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5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规格填写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填写说明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布局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栅格、间距、圆角、阴影、对齐、断点规则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设计令牌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色板、字号、行高、字重、圆角、阴影、动效曲线与速度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主题与模式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浅色/深色/高对比度模式及切换时机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图标与插画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语义、尺寸、颜色、可访问文本、替换文本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动效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触发、时长、缓动、位移、是否可关闭（ vestibular 偏好）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数据密度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紧凑/舒适模式、表格/列表密度规则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适配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折叠屏、分屏、多窗口、小窗模式、安全区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9 可访问性自检表（逐条可追溯）</w:t>
      </w:r>
    </w:p>
    <w:p>
      <w:r>
        <w:rPr>
          <w:rFonts w:eastAsia="思源黑体" w:ascii="Times New Roman" w:hAnsi="Times New Roman" w:cs="Times New Roman"/>
        </w:rPr>
        <w:t>按组件/界面填写；合格即打勾并注明验证方式。引用 WCAG 2.2 的 AA 要求与 WAI-ARIA 的角色、状态、属性模型。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3860"/>
        <w:gridCol w:w="3000"/>
        <w:gridCol w:w="1800"/>
      </w:tblGrid>
      <w:tr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8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检查项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验证方式</w:t>
            </w:r>
          </w:p>
        </w:tc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结果/备注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每个交互元素都有可访问名称与角色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读屏实测 + 可访问性树检查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A2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所有功能仅键盘可用，Tab 顺序符合视觉与逻辑顺序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纯键盘遍历全流程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A3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自定义焦点指示器可见且符合对比度/尺寸要求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截图比对 + 对比度计算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A4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获焦元素不被固定页眉/弹层/组件完全遮挡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Tab 遍历全页校验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A5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复合控件（菜单/标签/列表框/表格/树）采用标准键盘模式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逐控件键位演练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A6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动态状态用 aria-* 表达且随交互实时更新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状态变化监控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A7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弹层：获焦进入、焦点陷阱、Esc 关闭、关闭后焦点返回触发源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键盘路径实测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A8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实时更新（轮播/消息流）使用恰当的 politeness，避免噪声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读屏实测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A9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拖拽操作提供单指针替代方案（按钮/键盘）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非拖拽路径演练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A10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指针目标不小于 24×24 CSS 像素，或满足间距例外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测量/计算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A11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色彩不作为唯一信息载体，图标+文字/图形双重表达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去色截图比对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A12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文案与状态可读：字号、对比度、缩放 200% 不截断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对比度工具 + 缩放测试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A13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表单：可见标签、错误定位、错误说明与输入框关联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错误流程实测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A14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动效可被 reduced motion 偏好关闭或降级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系统偏好切换实测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A15</w:t>
            </w:r>
          </w:p>
        </w:tc>
        <w:tc>
          <w:tcPr>
            <w:tcW w:type="dxa" w:w="3860"/>
          </w:tcPr>
          <w:p>
            <w:r>
              <w:rPr>
                <w:rFonts w:eastAsia="思源黑体" w:ascii="Times New Roman" w:hAnsi="Times New Roman" w:cs="Times New Roman"/>
              </w:rPr>
              <w:t>图像/装饰元素有恰当的 alt 与角色，纯装饰不干扰读屏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读屏遍历 + alt 检查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10 状态与异常全景表</w:t>
      </w:r>
    </w:p>
    <w:p>
      <w:r>
        <w:rPr>
          <w:rFonts w:eastAsia="思源黑体" w:ascii="Times New Roman" w:hAnsi="Times New Roman" w:cs="Times New Roman"/>
        </w:rPr>
        <w:t>把“组件状态 × 异常类型”交叉一遍，是发现遗漏状态最快的方法。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2460"/>
        <w:gridCol w:w="2000"/>
        <w:gridCol w:w="1500"/>
        <w:gridCol w:w="1500"/>
      </w:tblGrid>
      <w:tr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场景状态</w:t>
            </w:r>
          </w:p>
        </w:tc>
        <w:tc>
          <w:tcPr>
            <w:tcW w:type="dxa" w:w="2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视觉表现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文案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可重试性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埋点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空（无数据）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加载中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部分加载/骨架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加载失败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网络断开/超时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无权限/登录失效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数据不存在/已删除/已过期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并发修改/版本冲突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输入非法/超出边界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系统错误/降级/维护</w:t>
            </w:r>
          </w:p>
        </w:tc>
        <w:tc>
          <w:tcPr>
            <w:tcW w:type="dxa" w:w="24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11 组件状态速查表（复用模板）</w:t>
      </w:r>
    </w:p>
    <w:p>
      <w:r>
        <w:rPr>
          <w:rFonts w:eastAsia="思源黑体" w:ascii="Times New Roman" w:hAnsi="Times New Roman" w:cs="Times New Roman"/>
        </w:rPr>
        <w:t>在组件库层统一定义一次，各界面只需引用。多平台可并列多列。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260"/>
        <w:gridCol w:w="2500"/>
        <w:gridCol w:w="200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组件族</w:t>
            </w:r>
          </w:p>
        </w:tc>
        <w:tc>
          <w:tcPr>
            <w:tcW w:type="dxa" w:w="32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状态全集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焦点/键盘要点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备注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按钮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默认 / 悬停 / 聚焦 / 按下 / 加载中 / 禁用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无特殊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输入框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默认 / 聚焦 / 输入中 / 校验中 / 合法 / 非法 / 禁用 / 只读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非法时关联错误区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选择器/下拉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收起 / 展开 / 选中 / 未选中 / 多选部分选中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焦点陷阱+方向键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弹层/抽屉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未显示 / 进入中 / 已显示 / 退出中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焦点管理闭环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表格/列表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默认 / 排序中 / 加载更多 / 到底 / 空 / 选择态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表头排序状态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导航项/标签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默认 / 悬停 / 选中 / 聚焦 / 禁用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roving tabindex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开关/勾选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开 / 关 / 部分 / 禁用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即时生效或需保存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进度/上传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等待 / 进行中 / 暂停 / 完成 / 失败 / 取消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可中断可重试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提示/通知</w:t>
            </w:r>
          </w:p>
        </w:tc>
        <w:tc>
          <w:tcPr>
            <w:tcW w:type="dxa" w:w="3260"/>
          </w:tcPr>
          <w:p>
            <w:r>
              <w:rPr>
                <w:rFonts w:eastAsia="思源黑体" w:ascii="Times New Roman" w:hAnsi="Times New Roman" w:cs="Times New Roman"/>
              </w:rPr>
              <w:t>出现 / 展示中 / 自动消失 / 已关闭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polite/assertive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12 质量门禁（验收阈值建议，需团队确认）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500"/>
        <w:gridCol w:w="5260"/>
        <w:gridCol w:w="2600"/>
      </w:tblGrid>
      <w:tr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52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建议阈值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验证手段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响应性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用户操作 100ms 内给出可见反馈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Performance API / 埋点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流畅性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滚动与动效 60fps（或目标帧率）无长任务卡顿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性能分析器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首屏/路由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首屏与关键路由达到团队性能预算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Lighthouse / WebPageTest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成功率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主流程成功率与失败率分渠道达标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漏斗埋点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可访问性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目标 WCAG 等级 + 全量键位路径通过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自动化 + 人工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一致性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组件属性与状态覆盖 100% 命中组件库定义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设计令牌比对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可测试性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关键交互有稳定标识，可无视觉比对自动化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E2E 用例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文案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零占位符、零硬编码、零未审校机翻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i18n 校验</w:t>
            </w:r>
          </w:p>
        </w:tc>
      </w:tr>
      <w:tr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降级</w:t>
            </w:r>
          </w:p>
        </w:tc>
        <w:tc>
          <w:tcPr>
            <w:tcW w:type="dxa" w:w="5260"/>
          </w:tcPr>
          <w:p>
            <w:r>
              <w:rPr>
                <w:rFonts w:eastAsia="思源黑体" w:ascii="Times New Roman" w:hAnsi="Times New Roman" w:cs="Times New Roman"/>
              </w:rPr>
              <w:t>离线/弱网/无 JS/缩放/读屏五类降级均通过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场景用例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13 评审与交付门禁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门禁</w:t>
            </w:r>
          </w:p>
        </w:tc>
        <w:tc>
          <w:tcPr>
            <w:tcW w:type="dxa" w:w="7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通过条件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需求评审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目标、指标、范围、依赖、不做项已签字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交互评审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流程、状态全集、异常分支、可撤销性、焦点路径完整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视觉评审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令牌覆盖、断点、适配、主题、动效可声明化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技术评审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数据契约、权限、性能预算、埋点、降级方案可落地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可访问性评审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第 9 章逐条通过并留有实测记录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测试准入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本文档字段覆盖率达标，每项有对应验收用例编号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上线准入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指标基线、监控告警、回滚方案、已知缺陷清单齐备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14 变更与追溯矩阵</w:t>
      </w:r>
    </w:p>
    <w:p>
      <w:r>
        <w:rPr>
          <w:rFonts w:eastAsia="思源黑体" w:ascii="Times New Roman" w:hAnsi="Times New Roman" w:cs="Times New Roman"/>
        </w:rPr>
        <w:t>保持规格与实现的双向追溯：需求变更要能定位影响到的界面、组件、事件、用例与埋点。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1000"/>
        <w:gridCol w:w="1000"/>
        <w:gridCol w:w="1000"/>
        <w:gridCol w:w="1400"/>
        <w:gridCol w:w="1000"/>
        <w:gridCol w:w="1000"/>
        <w:gridCol w:w="1760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需求/约束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界面编号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组件编号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事件编号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状态/反馈编号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用例编号</w:t>
            </w:r>
          </w:p>
        </w:tc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埋点编号</w:t>
            </w:r>
          </w:p>
        </w:tc>
        <w:tc>
          <w:tcPr>
            <w:tcW w:type="dxa" w:w="1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影响说明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  <w:tc>
          <w:tcPr>
            <w:tcW w:type="dxa" w:w="1760"/>
          </w:tcPr>
          <w:p>
            <w:r>
              <w:rPr>
                <w:rFonts w:eastAsia="思源黑体" w:ascii="Times New Roman" w:hAnsi="Times New Roman" w:cs="Times New Roman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A 编号与术语规范</w:t>
      </w:r>
    </w:p>
    <w:p>
      <w:r>
        <w:rPr>
          <w:rFonts w:eastAsia="思源黑体" w:ascii="Times New Roman" w:hAnsi="Times New Roman" w:cs="Times New Roman"/>
        </w:rPr>
        <w:t>统一编号后，任何字段都可用短码互相引用，文档可检索、可比对、可自动校验。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S-xx：界面；R-xx-xx：区域；C-xx：组件；ST-xx：状态；E-xx：交互事件；F-xx：反馈；P-xx：流程；T-xx：测试标识；M-xx：埋点事件。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术语统一：优先使用目标用户语言；同义概念在全文档只保留一个名称；平台术语以目标平台官方规范为准。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缩写表：A11y = 可访问性；ID = 标识符；API = 应用程序接口；E2E = 端到端测试；RTC = 实时通信。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B 最小完备性自检（写完后问一遍）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任一界面是否都写清了“何时出现、何时不可见、离开后去哪”？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任一组件是否都列出了完整状态全集，而非只写默认态？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任一状态是否都定义了视觉、文案、可达性、焦点四处表达？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任一交互事件是否都覆盖了成功、失败、超时、中断、重复触发五种结果？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任一流程是否都有主路径、替代路径、异常路径、退出路径？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任一功能是否都在鼠标、触控、键盘、读屏四种通道下被明确声明（支持或不支持）？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任一文案是否都是真实内容而非占位符，并说明缺失值与截断规则？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任一视觉/动效是否都可通过令牌、时长、缓动三要素被代码复现？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任一埋点是否都定义了事件名、属性、触发时机与去重规则？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任一需求变更是否都能反向定位到受影响的字段与用例？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{"Label":"1","ContentProducer":"001191440300708461136T1WFUO","ProduceID":"15e404df1c36bb8a1fd0211db8ba9fa3-preQ","ReservedCode1":"{\"Type\":\" TC260PG\",\"Version\":1,\"Bindings\":[{\"Type\":\"soft\",\"AlgID\":\"sm3\",\"Value\":\"25880968d77dd6a472a94373e7e29a28545f02d6cff3b4872fe501a2998398c6\"},{\"Type\":\"hash\",\"AlgID\":\"sm3\",\"Value\":\"f942a0d8343ad59dcc6c68a6b67becb6af6b3b637913fe9a7cc6cd61bd5914c3\"}],\"PubSD\":[{\"Type\":\"DS\",\"AlgID\":\"sm2\",\"TBSData\":{\"Type\":\"Binding\",\"BType\":\"hash\"},\"Signature\":\"304502202b99a5dc94e29248abee9eac370084194de1c498efe08ce870501cdf2d9e791b022100cf6ef1d4f3951db538240ef52124aa020d9a18201de4c9061187de5e303c6c56\"},{\"Type\":\"PubKey\",\"AlgID\":\"sm2\",\"KeyValue\":\"0407f79b28a17a752b3aae4305c98b48978213832729a2571850b1310b2bc9fe8fee039ccf25ebfeac27502414d9fcef792d777183c98893d226171c2f7a3289a2\"}],\"Extension\":{\"Timestamp\":1790665795,\"KeyVersion\":\"v1-TxLeOmf7bqU223\"}}","ContentPropagator":"001191440300708461136T1WFUO","PropagateID":"15e404df1c36bb8a1fd0211db8ba9fa3-preQ","ReservedCode2":"{\"Type\":\" TC260PG\",\"Version\":1,\"Bindings\":[{\"Type\":\"soft\",\"AlgID\":\"sm3\",\"Value\":\"25880968d77dd6a472a94373e7e29a28545f02d6cff3b4872fe501a2998398c6\"},{\"Type\":\"hash\",\"AlgID\":\"sm3\",\"Value\":\"f942a0d8343ad59dcc6c68a6b67becb6af6b3b637913fe9a7cc6cd61bd5914c3\"}],\"PubSD\":[{\"Type\":\"DS\",\"AlgID\":\"sm2\",\"TBSData\":{\"Type\":\"Binding\",\"BType\":\"hash\"},\"Signature\":\"3045022076eb195a103f18ce0dac25e578eb5cdb1e98770f97ca4961277d0248cce4d3bd022100fa3259170f5dbb9adcd702913cd1d807612cfdc7749aa46c22c6676b030ecefd\"},{\"Type\":\"PubKey\",\"AlgID\":\"sm2\",\"KeyValue\":\"0407f79b28a17a752b3aae4305c98b48978213832729a2571850b1310b2bc9fe8fee039ccf25ebfeac27502414d9fcef792d777183c98893d226171c2f7a3289a2\"}],\"Extension\":{\"Timestamp\":1790665795,\"KeyVersion\":\"v1-TxLeOmf7bqU223\"}}"}</vt:lpwstr>
  </property>
</Properties>
</file>