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 w:eastAsia="Microsoft YaHei"/>
          <w:b/>
          <w:color w:val="0B2545"/>
          <w:sz w:val="42"/>
        </w:rPr>
        <w:t>代谢通路数据库前后端接口与字段说明</w:t>
      </w:r>
    </w:p>
    <w:p>
      <w:pPr>
        <w:spacing w:before="0" w:after="200" w:line="264" w:lineRule="auto"/>
      </w:pPr>
      <w:r>
        <w:rPr>
          <w:rFonts w:ascii="Calibri" w:hAnsi="Calibri" w:eastAsia="Microsoft YaHei"/>
          <w:color w:val="555555"/>
          <w:sz w:val="21"/>
        </w:rPr>
        <w:t>供前端页面开发、后端接口开发和数据表设计对齐使用。接口层统一采用 camelCase 字段名。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3A5F"/>
                <w:sz w:val="21"/>
              </w:rPr>
              <w:t>总原则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20"/>
              </w:rPr>
              <w:t>前端只负责展示、交互状态和用户输入；后端负责数据查询、图结构组装、搜索、通路计算、同源检索、外部资源 URL 生成和下载文件生成。前端传稳定 ID 和筛选条件，后端返回可直接渲染的 DTO，不让前端拼化学/生物学业务逻辑。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32"/>
        </w:rPr>
        <w:t>1. 前后端职责边界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模块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前端负责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后端负责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接口交付物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首页网络图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渲染节点/边、拖拽、选中、悬浮高亮、卡片展开收起。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按范围返回节点、边、重叠边分组、来源标签、默认定位数据。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GraphPayload、CompoundNode、ReactionEdge、EdgeGroup。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条目检索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提交查询词、筛选条件、分页、排序；展示 table 或 graph 结果。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解析查询词与逻辑门，返回酶条目列表、筛选项、命中边 ID。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EntrySearchRequest、EntrySearchResponse。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通路检索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收集起点/终点/中间点，展示通路卡片和图高亮。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按图结构计算候选通路，返回通路摘要、edgeIds、局部图。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PathwaySearchRequest、PathwaySearchResponse。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详情页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按照 DTO 展示详情、外链按钮、下载按钮。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聚合酶、反应、化合物、基因和文献证据，返回详情 DTO。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EnzymeDetail、ReactionDetail、CompoundCard。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下载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维护勾选状态与下载维度选择；提交下载请求。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校验条目/通路 ID，按字段生成 CSV/TSV/JSON/FASTA/图片包。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DownloadPreview、DownloadCreate。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同源检索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提交序列或酶 ID，展示任务状态和排序结果。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调用本地 BLAST，处理 E 值阈值，返回同源酶结果。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HomologySearchRequest、HomologyResult。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外部图像</w:t>
            </w:r>
          </w:p>
        </w:tc>
        <w:tc>
          <w:tcPr>
            <w:tcW w:type="dxa" w:w="25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只使用后端返回的 imageUrl/svgUrl 进行展示。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拼接或代理 Rhea/ChEBI 图像 URL，必要时处理缓存/CORS。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reactionAtomMapUrl、compoundStructureUrl。</w:t>
            </w:r>
          </w:p>
        </w:tc>
      </w:tr>
    </w:tbl>
    <w:p>
      <w:pPr>
        <w:spacing w:before="0" w:after="80" w:line="283" w:lineRule="auto"/>
      </w:pPr>
    </w:p>
    <w:p>
      <w:pPr>
        <w:pStyle w:val="Heading1"/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32"/>
        </w:rPr>
        <w:t>2. 通用接口约定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约定项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基础路径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建议统一为 /api/v1；所有接口返回 JSON，文件下载接口除外。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字段命名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接口字段统一 camelCase，例如 enzymeId、reactionId、reviewStatus；数据库内部可使用 snake_case。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ID 传递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前端只传稳定 ID，不传展示文本作为业务主键。名称可作为搜索 q，但详情、下载、图高亮必须传 enzymeId、compoundId、reactionId、edgeId 或 pathwayId。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空值规则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未知或缺失值用 null；数组没有数据时返回 []；不建议用空字符串表达未知。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时间格式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createdAt、updatedAt 使用 ISO 8601 字符串，例如 2026-07-17T10:30:00+08:00。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图片传递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Rhea atom map 和 ChEBI 结构图传 URL/SVG URL，不传 base64；前端按 URL 展示。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分页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列表接口统一 page、pageSize、total、totalPages；page 从 1 开始。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排序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使用 sortBy 和 sortOrder；sortOrder 只允许 asc 或 desc。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枚举值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使用小写下划线，例如 swiss_prot、ai_literature、reviewed、forward。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错误返回</w:t>
            </w:r>
          </w:p>
        </w:tc>
        <w:tc>
          <w:tcPr>
            <w:tcW w:type="dxa" w:w="74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HTTP 状态码表达请求是否成功；业务错误在 error.code 和 error.message 中说明。</w:t>
            </w:r>
          </w:p>
        </w:tc>
      </w:tr>
    </w:tbl>
    <w:p>
      <w:pPr>
        <w:spacing w:before="0" w:after="80" w:line="283" w:lineRule="auto"/>
      </w:pPr>
    </w:p>
    <w:p>
      <w:pPr>
        <w:spacing w:before="0" w:after="100" w:line="283" w:lineRule="auto"/>
      </w:pPr>
      <w:r>
        <w:rPr>
          <w:rFonts w:ascii="Calibri" w:hAnsi="Calibri" w:eastAsia="Microsoft YaHei"/>
          <w:sz w:val="21"/>
        </w:rPr>
        <w:t>统一成功响应：</w:t>
      </w:r>
    </w:p>
    <w:p>
      <w:pPr>
        <w:spacing w:before="40" w:after="80" w:line="240" w:lineRule="auto"/>
      </w:pPr>
      <w:r>
        <w:rPr>
          <w:rFonts w:ascii="Consolas" w:hAnsi="Consolas" w:eastAsia="Microsoft YaHei"/>
          <w:sz w:val="18"/>
        </w:rPr>
        <w:t>{ "success": true, "data": { ... }, "meta": { "requestId": "req_001", "pagination": { ... } } }</w:t>
      </w:r>
    </w:p>
    <w:p>
      <w:pPr>
        <w:spacing w:before="0" w:after="100" w:line="283" w:lineRule="auto"/>
      </w:pPr>
      <w:r>
        <w:rPr>
          <w:rFonts w:ascii="Calibri" w:hAnsi="Calibri" w:eastAsia="Microsoft YaHei"/>
          <w:sz w:val="21"/>
        </w:rPr>
        <w:t>统一错误响应：</w:t>
      </w:r>
    </w:p>
    <w:p>
      <w:pPr>
        <w:spacing w:before="40" w:after="80" w:line="240" w:lineRule="auto"/>
      </w:pPr>
      <w:r>
        <w:rPr>
          <w:rFonts w:ascii="Consolas" w:hAnsi="Consolas" w:eastAsia="Microsoft YaHei"/>
          <w:sz w:val="18"/>
        </w:rPr>
        <w:t>{ "success": false, "error": { "code": "VALIDATION_ERROR", "message": "startCompoundId is required", "details": { ... } } }</w:t>
      </w:r>
    </w:p>
    <w:p>
      <w:pPr>
        <w:pStyle w:val="Heading1"/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32"/>
        </w:rPr>
        <w:t>3. 公共枚举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字段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可选值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sourceType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swiss_prot | trembl | ai_literature | manual_literature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数据来源；前端用来给边/卡片上色。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reviewStatus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pending | reviewed | official | deprecated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数据审核/入库状态；AI 文献数据默认不应直接标为 official。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reactionDirection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forward | reverse | reversible | unknown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反应方向；不依赖热力学/动力学参数推断。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entityType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enzyme | compound | reaction | pathway | edge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下载、搜索命中、高亮时使用的实体类型。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searchViewMode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table | graph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条目检索结果展示方式。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downloadType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entry | pathway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条目下载与通路下载分开处理。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downloadFormat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csv | tsv | json | fasta | zip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具体可开放哪些格式由后端实现确认。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homologyJobStatus</w:t>
            </w:r>
          </w:p>
        </w:tc>
        <w:tc>
          <w:tcPr>
            <w:tcW w:type="dxa" w:w="38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queued | running | finished | failed</w:t>
            </w:r>
          </w:p>
        </w:tc>
        <w:tc>
          <w:tcPr>
            <w:tcW w:type="dxa" w:w="33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8"/>
              </w:rPr>
              <w:t>同源检索若耗时，应使用异步任务状态。</w:t>
            </w:r>
          </w:p>
        </w:tc>
      </w:tr>
    </w:tbl>
    <w:p>
      <w:pPr>
        <w:spacing w:before="0" w:after="80" w:line="283" w:lineRule="auto"/>
      </w:pPr>
    </w:p>
    <w:p>
      <w:pPr>
        <w:pStyle w:val="Heading1"/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32"/>
        </w:rPr>
        <w:t>4. 核心 DTO 字段字典</w:t>
      </w:r>
    </w:p>
    <w:p>
      <w:pPr>
        <w:pStyle w:val="Heading2"/>
        <w:spacing w:before="200" w:after="100" w:line="276" w:lineRule="auto"/>
      </w:pPr>
      <w:r>
        <w:rPr>
          <w:rFonts w:ascii="Calibri" w:hAnsi="Calibri" w:eastAsia="Microsoft YaHei"/>
          <w:b/>
          <w:color w:val="2E74B5"/>
          <w:sz w:val="26"/>
        </w:rPr>
        <w:t>4.1 CompoundNode / CompoundCard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字段名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必填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compoundId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本库化合物稳定 ID；若使用 ChEBI 作为主 ID，也应统一格式。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name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展示名称，优先常用名或标准名。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chebiId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ChEBI ID，例如 CHEBI:15377。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formula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化学式。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charge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number|null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净电荷。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averageMass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number|null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平均分子量。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smiles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SMILES 表达式。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inchi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InChI 表达式。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structureImageUrl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化合物结构图 SVG/图片 URL。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chebiUrl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跳转到 ChEBI 的外部链接。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简短描述。</w:t>
            </w:r>
          </w:p>
        </w:tc>
      </w:tr>
    </w:tbl>
    <w:p>
      <w:pPr>
        <w:spacing w:before="0" w:after="80" w:line="283" w:lineRule="auto"/>
      </w:pPr>
    </w:p>
    <w:p>
      <w:pPr>
        <w:pStyle w:val="Heading2"/>
        <w:spacing w:before="200" w:after="100" w:line="276" w:lineRule="auto"/>
      </w:pPr>
      <w:r>
        <w:rPr>
          <w:rFonts w:ascii="Calibri" w:hAnsi="Calibri" w:eastAsia="Microsoft YaHei"/>
          <w:b/>
          <w:color w:val="2E74B5"/>
          <w:sz w:val="26"/>
        </w:rPr>
        <w:t>4.2 EnzymeCard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字段名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必填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edgeId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当前图中边 ID；因为卡片展示的是“某个酶催化当前反应”。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enzymeId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本库酶稳定 ID。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primaryName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酶主要名称，卡片只显示主要名称。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uniprotId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UniProt 编号；AI 未正式入库数据可为空。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databaseCode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本库酶编号，用于未有 UniProt ID 的数据展示。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organismName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物种来源。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ecNumber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当前反应的 EC 编号。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reactionId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当前卡片对应反应 ID。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reactionEquation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当前反应方程式。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reactionDirection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forward/reverse/reversible/unknown。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sourceType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数据来源，用于边颜色和标签。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reviewStatus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审核状态，用于提示可信度。</w:t>
            </w:r>
          </w:p>
        </w:tc>
      </w:tr>
    </w:tbl>
    <w:p>
      <w:pPr>
        <w:spacing w:before="0" w:after="80" w:line="283" w:lineRule="auto"/>
      </w:pPr>
    </w:p>
    <w:p>
      <w:pPr>
        <w:pStyle w:val="Heading2"/>
        <w:spacing w:before="200" w:after="100" w:line="276" w:lineRule="auto"/>
      </w:pPr>
      <w:r>
        <w:rPr>
          <w:rFonts w:ascii="Calibri" w:hAnsi="Calibri" w:eastAsia="Microsoft YaHei"/>
          <w:b/>
          <w:color w:val="2E74B5"/>
          <w:sz w:val="26"/>
        </w:rPr>
        <w:t>4.3 EnzymeDetail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字段名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必填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enzymeId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本库酶稳定 ID。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databaseCode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本库酶编号。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primaryName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主要名称。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secondaryNames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次要名称/别名。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uniprotId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UniProt 编号。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uniprotUrl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UniProt 外链。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organismName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物种名。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sequence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氨基酸序列；可用于 FASTA 下载。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gene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GeneSummary|null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基因名称、Gene ID、GenBank 编号、NCBI URL。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reactions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EnzymeReactionItem[]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该酶参与的所有反应；详情页按数组逐条展示。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evidence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EvidenceItem[]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DOI、PubMed、文献来源与审核状态。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links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ExternalLink[]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其他外部数据库链接。</w:t>
            </w:r>
          </w:p>
        </w:tc>
      </w:tr>
    </w:tbl>
    <w:p>
      <w:pPr>
        <w:spacing w:before="0" w:after="80" w:line="283" w:lineRule="auto"/>
      </w:pPr>
    </w:p>
    <w:p>
      <w:pPr>
        <w:pStyle w:val="Heading2"/>
        <w:spacing w:before="200" w:after="100" w:line="276" w:lineRule="auto"/>
      </w:pPr>
      <w:r>
        <w:rPr>
          <w:rFonts w:ascii="Calibri" w:hAnsi="Calibri" w:eastAsia="Microsoft YaHei"/>
          <w:b/>
          <w:color w:val="2E74B5"/>
          <w:sz w:val="26"/>
        </w:rPr>
        <w:t>4.4 EnzymeReactionItem / ReactionDetail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字段名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必填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reactionId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本库反应 ID。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rheaId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Rhea ID。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rheaUrl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Rhea 外链。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equation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反应方程式。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direction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反应方向。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ecNumber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当前反应 EC 编号。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smiles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反应 SMILES。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atomMapImageUrl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由 Rhea ID 生成或代理的 atom map SVG URL。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substrates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CompoundCard[]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底物列表。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products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CompoundCard[]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产物列表。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sourceType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该反应/边来源。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reviewStatus</w:t>
            </w:r>
          </w:p>
        </w:tc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审核状态。</w:t>
            </w:r>
          </w:p>
        </w:tc>
      </w:tr>
    </w:tbl>
    <w:p>
      <w:pPr>
        <w:spacing w:before="0" w:after="80" w:line="283" w:lineRule="auto"/>
      </w:pPr>
    </w:p>
    <w:p>
      <w:pPr>
        <w:pStyle w:val="Heading2"/>
        <w:spacing w:before="200" w:after="100" w:line="276" w:lineRule="auto"/>
      </w:pPr>
      <w:r>
        <w:rPr>
          <w:rFonts w:ascii="Calibri" w:hAnsi="Calibri" w:eastAsia="Microsoft YaHei"/>
          <w:b/>
          <w:color w:val="2E74B5"/>
          <w:sz w:val="26"/>
        </w:rPr>
        <w:t>4.5 GraphPayload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字段名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必填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nodes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CompoundNode[]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图节点，化合物为节点。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edges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ReactionEdge[]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非重叠边或已展开边。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edgeGroups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EdgeGroup[]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重叠边分组；未展开时前端显示 N*enzyme。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highlightedNodeIds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默认高亮节点。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highlightedEdgeIds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默认高亮边。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focus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object|null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建议前端初次定位的 nodeId/edgeId/pathwayId。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filters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object|null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本次图数据实际使用的筛选条件回显。</w:t>
            </w:r>
          </w:p>
        </w:tc>
      </w:tr>
    </w:tbl>
    <w:p>
      <w:pPr>
        <w:spacing w:before="0" w:after="80" w:line="283" w:lineRule="auto"/>
      </w:pPr>
    </w:p>
    <w:p>
      <w:pPr>
        <w:pStyle w:val="Heading2"/>
        <w:spacing w:before="200" w:after="100" w:line="276" w:lineRule="auto"/>
      </w:pPr>
      <w:r>
        <w:rPr>
          <w:rFonts w:ascii="Calibri" w:hAnsi="Calibri" w:eastAsia="Microsoft YaHei"/>
          <w:b/>
          <w:color w:val="2E74B5"/>
          <w:sz w:val="26"/>
        </w:rPr>
        <w:t>4.6 ReactionEdge / EdgeGroup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字段名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必填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edgeId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单条边 ID，对应 enzyme-reaction 关系。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edgeGroupId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重叠边组 ID；同一对化合物的多条边共用。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reactionId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反应 ID。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enzymeId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酶 ID。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sourceCompoundId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起始化合物 ID。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targetCompoundId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终止化合物 ID。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label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边标签；单边可为 UniProt ID/本库编号，重叠组为 N*enzyme。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direction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反应方向。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sourceType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边颜色依据。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reviewStatus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可信度提示依据。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card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EnzymeCard|null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展开边可直接携带卡片；重叠未展开时可为空。</w:t>
            </w:r>
          </w:p>
        </w:tc>
      </w:tr>
    </w:tbl>
    <w:p>
      <w:pPr>
        <w:spacing w:before="0" w:after="80" w:line="283" w:lineRule="auto"/>
      </w:pPr>
    </w:p>
    <w:p>
      <w:pPr>
        <w:pStyle w:val="Heading2"/>
        <w:spacing w:before="200" w:after="100" w:line="276" w:lineRule="auto"/>
      </w:pPr>
      <w:r>
        <w:rPr>
          <w:rFonts w:ascii="Calibri" w:hAnsi="Calibri" w:eastAsia="Microsoft YaHei"/>
          <w:b/>
          <w:color w:val="2E74B5"/>
          <w:sz w:val="26"/>
        </w:rPr>
        <w:t>4.7 PathwayCard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字段名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必填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pathwayId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候选通路 ID。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summary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通路摘要，例如 compound8 -&gt; compound0 -&gt; compound10。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compoundIds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按路径顺序排列的化合物 ID。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edgeIds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组成通路的边 ID；若某段为重叠边，可使用 edgeGroupId 另行说明。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edgeGroupIds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通路结果阶段不展开重叠边时使用。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stepCount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通路步数。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score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number|null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后端可选的排序分数。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graph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GraphPayload|null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5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进入通路详情页时返回局部图。</w:t>
            </w:r>
          </w:p>
        </w:tc>
      </w:tr>
    </w:tbl>
    <w:p>
      <w:pPr>
        <w:spacing w:before="0" w:after="80" w:line="283" w:lineRule="auto"/>
      </w:pPr>
    </w:p>
    <w:p>
      <w:pPr>
        <w:pStyle w:val="Heading1"/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32"/>
        </w:rPr>
        <w:t>5. 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5"/>
              </w:rPr>
              <w:t>方法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5"/>
              </w:rPr>
              <w:t>路径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5"/>
              </w:rPr>
              <w:t>用途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5"/>
              </w:rPr>
              <w:t>前端传入重点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5"/>
              </w:rPr>
              <w:t>后端返回重点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GET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/api/v1/metadata/filter-options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获取筛选项。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无或当前模块 module。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物种、来源、审核状态、EC、下载字段选项。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GET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/api/v1/graph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首页/局部网络图。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centerCompoundId、depth、sourceTypes、reviewStatuses。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GraphPayload。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GET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/api/v1/graph/edge-groups/{edgeGroupId}/edges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展开重叠边。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edgeGroupId。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ReactionEdge[]，每条边含 EnzymeCard。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GET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/api/v1/search/entries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条目检索。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q、inputType、page、pageSize、filters、viewMode。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EnzymeCard[]、pagination、graphHighlights。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POST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/api/v1/search/pathways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通路检索。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startCompoundId、endCompoundId、viaCompoundIds、maxSteps。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PathwayCard[]、GraphPayload。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GET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/api/v1/enzymes/{enzymeId}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酶详情页。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enzymeId。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EnzymeDetail。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GET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/api/v1/compounds/{compoundId}/card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化合物卡片。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compoundId。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CompoundCard。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GET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/api/v1/reactions/{reactionId}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反应详情/弹层。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reactionId。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ReactionDetail。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POST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/api/v1/homology/search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发起同源检索。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enzymeId 或 sequence，eValueThreshold。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jobId 或同步结果。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GET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/api/v1/homology/jobs/{jobId}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查询同源检索状态。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jobId。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status、progress、HomologyResult[]。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POST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/api/v1/download/preview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下载预览。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downloadType、items、fields、format。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columns、rowCount、estimatedFileName。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POST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/api/v1/download/files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生成下载文件。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downloadType、items、fields、format。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fileUrl 或 blob。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GET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/api/v1/assets/reactions/{rheaId}/atom-map.svg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反应 atom map 图。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rheaId。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SVG 图片。</w:t>
            </w:r>
          </w:p>
        </w:tc>
      </w:tr>
      <w:tr>
        <w:tc>
          <w:tcPr>
            <w:tcW w:type="dxa" w:w="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GET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/api/v1/assets/compounds/{chebiId}/structure.svg</w:t>
            </w:r>
          </w:p>
        </w:tc>
        <w:tc>
          <w:tcPr>
            <w:tcW w:type="dxa" w:w="16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化合物结构图。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chebiId。</w:t>
            </w:r>
          </w:p>
        </w:tc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5"/>
              </w:rPr>
              <w:t>SVG 图片。</w:t>
            </w:r>
          </w:p>
        </w:tc>
      </w:tr>
    </w:tbl>
    <w:p>
      <w:pPr>
        <w:spacing w:before="0" w:after="80" w:line="283" w:lineRule="auto"/>
      </w:pPr>
    </w:p>
    <w:p>
      <w:pPr>
        <w:pStyle w:val="Heading1"/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32"/>
        </w:rPr>
        <w:t>6. 重点接口详细要求</w:t>
      </w:r>
    </w:p>
    <w:p>
      <w:pPr>
        <w:pStyle w:val="Heading2"/>
        <w:spacing w:before="200" w:after="100" w:line="276" w:lineRule="auto"/>
      </w:pPr>
      <w:r>
        <w:rPr>
          <w:rFonts w:ascii="Calibri" w:hAnsi="Calibri" w:eastAsia="Microsoft YaHei"/>
          <w:b/>
          <w:color w:val="2E74B5"/>
          <w:sz w:val="26"/>
        </w:rPr>
        <w:t>6.1 GET /api/v1/graph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参数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必填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centerCompoundId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指定中心化合物；首页可为空，由后端返回默认局部图。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depth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从中心节点展开的层数，默认 2。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limitNodes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最大节点数，防止首页图过大。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sourceTypes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来源筛选。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reviewStatuses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审核状态筛选。</w:t>
            </w:r>
          </w:p>
        </w:tc>
      </w:tr>
    </w:tbl>
    <w:p>
      <w:pPr>
        <w:spacing w:before="0" w:after="80" w:line="283" w:lineRule="auto"/>
      </w:pPr>
    </w:p>
    <w:p>
      <w:pPr>
        <w:spacing w:before="0" w:after="100" w:line="283" w:lineRule="auto"/>
      </w:pPr>
      <w:r>
        <w:rPr>
          <w:rFonts w:ascii="Calibri" w:hAnsi="Calibri" w:eastAsia="Microsoft YaHei"/>
          <w:sz w:val="21"/>
        </w:rPr>
        <w:t>返回要求：nodes 中只放化合物节点；edges 中放当前可直接显示的单边；edgeGroups 中放重叠边摘要。前端点击 edgeGroup 后，再调用展开接口取具体边和卡片。</w:t>
      </w:r>
    </w:p>
    <w:p>
      <w:pPr>
        <w:pStyle w:val="Heading2"/>
        <w:spacing w:before="200" w:after="100" w:line="276" w:lineRule="auto"/>
      </w:pPr>
      <w:r>
        <w:rPr>
          <w:rFonts w:ascii="Calibri" w:hAnsi="Calibri" w:eastAsia="Microsoft YaHei"/>
          <w:b/>
          <w:color w:val="2E74B5"/>
          <w:sz w:val="26"/>
        </w:rPr>
        <w:t>6.2 GET /api/v1/search/entries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参数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必填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q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查询词，可为本库酶编号、UniProt ID、Rhea ID、酶名、基因名、GenBank 编号；支持 AND/OR/NOT。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inputType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enzyme_id、uniprot_id、rhea_id、enzyme_name、gene_name、genbank_id、auto。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viewMode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table 或 graph；默认 table。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organismName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物种筛选。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sourceTypes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来源筛选。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page/pageSize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分页参数。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sortBy/sortOrder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排序字段和方向。</w:t>
            </w:r>
          </w:p>
        </w:tc>
      </w:tr>
    </w:tbl>
    <w:p>
      <w:pPr>
        <w:spacing w:before="0" w:after="80" w:line="283" w:lineRule="auto"/>
      </w:pPr>
    </w:p>
    <w:p>
      <w:pPr>
        <w:spacing w:before="0" w:after="100" w:line="283" w:lineRule="auto"/>
      </w:pPr>
      <w:r>
        <w:rPr>
          <w:rFonts w:ascii="Calibri" w:hAnsi="Calibri" w:eastAsia="Microsoft YaHei"/>
          <w:sz w:val="21"/>
        </w:rPr>
        <w:t>返回要求：table 模式返回 EnzymeCard 列表；graph 模式除 EnzymeCard 列表外，应返回 graphHighlights.highlightedEdgeIds，前端据此常亮命中边。筛选掉的卡片不显示，对应边也不高亮。</w:t>
      </w:r>
    </w:p>
    <w:p>
      <w:pPr>
        <w:pStyle w:val="Heading2"/>
        <w:spacing w:before="200" w:after="100" w:line="276" w:lineRule="auto"/>
      </w:pPr>
      <w:r>
        <w:rPr>
          <w:rFonts w:ascii="Calibri" w:hAnsi="Calibri" w:eastAsia="Microsoft YaHei"/>
          <w:b/>
          <w:color w:val="2E74B5"/>
          <w:sz w:val="26"/>
        </w:rPr>
        <w:t>6.3 POST /api/v1/search/pathways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字段名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必填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startCompoundId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起点化合物；起点、终点、中间点至少提供两个有效条件。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endCompoundId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终点化合物。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viaCompoundIds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必须经过的中间化合物列表，按用户输入顺序可选。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maxSteps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最大路径步数，默认 4 或由后端配置。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sourceTypes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来源筛选。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reviewStatuses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审核状态筛选。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limit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最多返回通路数量。</w:t>
            </w:r>
          </w:p>
        </w:tc>
      </w:tr>
    </w:tbl>
    <w:p>
      <w:pPr>
        <w:spacing w:before="0" w:after="80" w:line="283" w:lineRule="auto"/>
      </w:pPr>
    </w:p>
    <w:p>
      <w:pPr>
        <w:spacing w:before="0" w:after="100" w:line="283" w:lineRule="auto"/>
      </w:pPr>
      <w:r>
        <w:rPr>
          <w:rFonts w:ascii="Calibri" w:hAnsi="Calibri" w:eastAsia="Microsoft YaHei"/>
          <w:sz w:val="21"/>
        </w:rPr>
        <w:t>返回要求：通路结果阶段遇到重叠边时不展开，只作为一段路径显示；PathwayCard.summary 不展示酶信息，只展示化合物路径。进入通路详情页后，后端返回局部 GraphPayload 并展开重叠边。</w:t>
      </w:r>
    </w:p>
    <w:p>
      <w:pPr>
        <w:pStyle w:val="Heading2"/>
        <w:spacing w:before="200" w:after="100" w:line="276" w:lineRule="auto"/>
      </w:pPr>
      <w:r>
        <w:rPr>
          <w:rFonts w:ascii="Calibri" w:hAnsi="Calibri" w:eastAsia="Microsoft YaHei"/>
          <w:b/>
          <w:color w:val="2E74B5"/>
          <w:sz w:val="26"/>
        </w:rPr>
        <w:t>6.4 POST /api/v1/download/preview 与 /download/files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字段名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必填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downloadType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entry 或 pathway；两类候选表不互通。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items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DownloadItem[]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待下载对象。entry 传 enzymeId/edgeId；pathway 传 pathwayId 或 edgeIds。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fields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用户选择的数据维度，例如 primaryName、sequence、reactionEquation、atomMapImageUrl。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format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csv、tsv、json、fasta、zip。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includeExternalLinks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是否包含 UniProt/Rhea/ChEBI/NCBI/PubMed 链接。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includeGraphImage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boolean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通路下载是否包含局部通路图。</w:t>
            </w:r>
          </w:p>
        </w:tc>
      </w:tr>
    </w:tbl>
    <w:p>
      <w:pPr>
        <w:spacing w:before="0" w:after="80" w:line="283" w:lineRule="auto"/>
      </w:pPr>
    </w:p>
    <w:p>
      <w:pPr>
        <w:spacing w:before="0" w:after="100" w:line="283" w:lineRule="auto"/>
      </w:pPr>
      <w:r>
        <w:rPr>
          <w:rFonts w:ascii="Calibri" w:hAnsi="Calibri" w:eastAsia="Microsoft YaHei"/>
          <w:sz w:val="21"/>
        </w:rPr>
        <w:t>传递要求：前端可以在本地维护候选下载表，但发起下载时必须把 items 和 fields 完整传给后端。后端重新校验 ID 和权限，不信任前端提交的展示文本。</w:t>
      </w:r>
    </w:p>
    <w:p>
      <w:pPr>
        <w:pStyle w:val="Heading2"/>
        <w:spacing w:before="200" w:after="100" w:line="276" w:lineRule="auto"/>
      </w:pPr>
      <w:r>
        <w:rPr>
          <w:rFonts w:ascii="Calibri" w:hAnsi="Calibri" w:eastAsia="Microsoft YaHei"/>
          <w:b/>
          <w:color w:val="2E74B5"/>
          <w:sz w:val="26"/>
        </w:rPr>
        <w:t>6.5 POST /api/v1/homology/search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字段名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必填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enzymeId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二选一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使用库内酶作为查询对象。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sequence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二选一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用户直接输入序列。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eValueThreshold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 值阈值，例如 1e-5。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maxResults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最大结果数。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sourceTypes</w:t>
            </w:r>
          </w:p>
        </w:tc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9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限定搜索来源。</w:t>
            </w:r>
          </w:p>
        </w:tc>
      </w:tr>
    </w:tbl>
    <w:p>
      <w:pPr>
        <w:spacing w:before="0" w:after="80" w:line="283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返回字段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类型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jobId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string|null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异步运行时返回任务 ID。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status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enum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queued/running/finished/failed。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results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HomologyResult[]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同步完成或查询任务完成后返回。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results[].enzymeId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string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命中的酶 ID。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results[].eValue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 值，结果按从小到大排序。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results[].identity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number|null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序列一致性，若 BLAST 输出可用则返回。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results[].card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EnzymeCard</w:t>
            </w:r>
          </w:p>
        </w:tc>
        <w:tc>
          <w:tcPr>
            <w:tcW w:type="dxa" w:w="54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用于 table 或 graph 结果展示的卡片摘要。</w:t>
            </w:r>
          </w:p>
        </w:tc>
      </w:tr>
    </w:tbl>
    <w:p>
      <w:pPr>
        <w:spacing w:before="0" w:after="80" w:line="283" w:lineRule="auto"/>
      </w:pPr>
    </w:p>
    <w:p>
      <w:pPr>
        <w:pStyle w:val="Heading1"/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32"/>
        </w:rPr>
        <w:t>7. 前端向后端传递数据的硬性要求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1"/>
        </w:rPr>
        <w:t>图中选中节点时传 compoundId；选中单边时传 edgeId；选中重叠边时先传 edgeGroupId 获取展开边。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1"/>
        </w:rPr>
        <w:t>卡片勾选进入下载候选表时，前端保存 entityType、entityId、edgeId/pathwayId 和 displayLabel；真正下载时只以 ID 为准。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1"/>
        </w:rPr>
        <w:t>条目检索支持逻辑门时，前端将原始 q 传给后端，不在前端拆解生物学字段。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1"/>
        </w:rPr>
        <w:t>通路检索必须区分 startCompoundId、endCompoundId、viaCompoundIds，不要只传一串名称。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1"/>
        </w:rPr>
        <w:t>图片展示使用后端返回的 URL；前端不要自己拼 Rhea/ChEBI 地址，除非后端明确给出拼接规则。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1"/>
        </w:rPr>
        <w:t>前端的高亮、悬浮、展开收起是 UI 状态，不需要回写后端；只有检索、展开重叠边、详情、下载、同源检索需要请求后端。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1"/>
        </w:rPr>
        <w:t>后端返回字段应保持稳定；新增字段可以向后兼容，删除或改名必须同步修改接口版本。</w:t>
      </w:r>
    </w:p>
    <w:p>
      <w:pPr>
        <w:pStyle w:val="Heading1"/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32"/>
        </w:rPr>
        <w:t>8. 建议的前后端开发顺序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阶段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后端先交付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/>
                <w:sz w:val="17"/>
              </w:rPr>
              <w:t>前端同步实现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1. 静态契约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返回 mock GraphPayload、EnzymeCard、CompoundCard。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搭首页图、卡片、表格结果页。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2. 条目与详情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接入真实 enzyme/reaction/compound 查询。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做检索结果 table、详情页、外链按钮。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3. 图交互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实现 graph、edgeGroup 展开、graphHighlights。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做重叠边展开、选中/悬浮互相高亮。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4. 通路检索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实现路径搜索与 PathwayCard。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做通路卡片、局部通路详情页。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5. 下载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实现 preview 和文件生成。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做下载候选表、字段选择和格式选择。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6. 同源检索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接入 BLAST 与任务状态。</w:t>
            </w:r>
          </w:p>
        </w:tc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9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做同源检索表单、任务状态和结果排序。</w:t>
            </w:r>
          </w:p>
        </w:tc>
      </w:tr>
    </w:tbl>
    <w:p>
      <w:pPr>
        <w:spacing w:before="0" w:after="80" w:line="283" w:lineRule="auto"/>
      </w:pPr>
    </w:p>
    <w:p>
      <w:pPr>
        <w:pStyle w:val="Heading1"/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32"/>
        </w:rPr>
        <w:t>9. 待确认接口细节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1"/>
        </w:rPr>
        <w:t>是否需要用户账号和权限；若需要，下载候选表可以后端持久化，否则前端本地保存即可。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1"/>
        </w:rPr>
        <w:t>下载文件是否立即返回 blob，还是先生成 fileUrl；如果文件较大，建议异步生成。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1"/>
        </w:rPr>
        <w:t>Rhea/ChEBI SVG 是否由后端代理，还是前端直接访问外部 URL；若遇到 CORS，应改为后端代理。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1"/>
        </w:rPr>
        <w:t>同源检索是否全部异步；如果 BLAST 运行超过 2 秒，建议统一使用 jobId 查询状态。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1"/>
        </w:rPr>
        <w:t>GraphPayload 的最大节点/边数量和默认 depth，需要前后端通过真实数据压测后确定。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Microsoft YaHei"/>
          <w:sz w:val="21"/>
        </w:rPr>
        <w:t>字段多语言：当前字段名使用英文，展示文案由前端维护中文；后端不要返回硬编码 UI 文案，除非是外部数据库原文。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777777"/>
        <w:sz w:val="17"/>
      </w:rPr>
      <w:t>前后端接口与字段说明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3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3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