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7016" w14:textId="390B3922" w:rsidR="00804998" w:rsidRDefault="00804998"/>
    <w:p w14:paraId="16367411" w14:textId="2B072E38" w:rsidR="006E3F1A" w:rsidRDefault="00A5257C" w:rsidP="006E3F1A">
      <w:r>
        <w:t xml:space="preserve">Early detection of </w:t>
      </w:r>
      <w:r>
        <w:rPr>
          <w:rFonts w:hint="eastAsia"/>
        </w:rPr>
        <w:t>P</w:t>
      </w:r>
      <w:r>
        <w:t xml:space="preserve">arkinson’s disease can be achieved </w:t>
      </w:r>
      <w:r w:rsidR="002E3523">
        <w:t>by detecting Substantia Nigra iron overloaded using</w:t>
      </w:r>
      <w:r>
        <w:t xml:space="preserve"> MRI relaxometry parameter T2*</w:t>
      </w:r>
      <w:r w:rsidR="006E3F1A">
        <w:t>, u</w:t>
      </w:r>
      <w:r w:rsidR="001A239E">
        <w:t>nfortunately</w:t>
      </w:r>
      <w:r>
        <w:t xml:space="preserve">, accurate high-resolution T2* mapping </w:t>
      </w:r>
      <w:r w:rsidR="006E3F1A">
        <w:t xml:space="preserve">result </w:t>
      </w:r>
      <w:r>
        <w:t xml:space="preserve">is difficult to achieve </w:t>
      </w:r>
      <w:r w:rsidR="006E3F1A">
        <w:t>at the brain stem</w:t>
      </w:r>
      <w:r w:rsidR="006E3F1A">
        <w:t xml:space="preserve"> </w:t>
      </w:r>
      <w:r>
        <w:t>due to tissue motion. A novel technique ka-SPGR is proposed to be motion robust</w:t>
      </w:r>
      <w:r w:rsidR="001A239E">
        <w:t xml:space="preserve"> and able to perform T2* mapping</w:t>
      </w:r>
      <w:r>
        <w:t xml:space="preserve">, </w:t>
      </w:r>
      <w:r w:rsidR="00CB2A13">
        <w:t>while</w:t>
      </w:r>
      <w:r w:rsidR="001A239E">
        <w:t xml:space="preserve"> neither analysis of the techniques’ T2* mapping performance nor optimised scan parameters were suggested. In this study, optimal parameters</w:t>
      </w:r>
      <w:r w:rsidR="000F0034">
        <w:t xml:space="preserve"> (</w:t>
      </w:r>
      <w:r w:rsidR="000F0034">
        <w:t>period and repetition time</w:t>
      </w:r>
      <w:r w:rsidR="000F0034">
        <w:t>)</w:t>
      </w:r>
      <w:r w:rsidR="001A239E">
        <w:t xml:space="preserve"> </w:t>
      </w:r>
      <w:r w:rsidR="000F0034">
        <w:t>of</w:t>
      </w:r>
      <w:r w:rsidR="001A239E">
        <w:t xml:space="preserve"> ka-SPGR specifically for PD biomarker detection are provided </w:t>
      </w:r>
      <w:r w:rsidR="00802923">
        <w:t>using</w:t>
      </w:r>
      <w:r w:rsidR="000F0034">
        <w:t xml:space="preserve"> computer simulation</w:t>
      </w:r>
      <w:r w:rsidR="00802923">
        <w:t xml:space="preserve"> to</w:t>
      </w:r>
      <w:r w:rsidR="000F0034">
        <w:t xml:space="preserve"> </w:t>
      </w:r>
      <w:r w:rsidR="00802923">
        <w:t>minimise</w:t>
      </w:r>
      <w:r w:rsidR="000F0034">
        <w:t xml:space="preserve"> </w:t>
      </w:r>
      <w:r w:rsidR="00802923">
        <w:t xml:space="preserve">T2* measurement </w:t>
      </w:r>
      <w:r w:rsidR="000F0034">
        <w:t>bias</w:t>
      </w:r>
      <w:r w:rsidR="001A239E">
        <w:t xml:space="preserve">, followed by a phantom experiment using optimised ka-SPGR </w:t>
      </w:r>
      <w:r w:rsidR="00802923">
        <w:t>and is compared</w:t>
      </w:r>
      <w:r w:rsidR="001A239E">
        <w:t xml:space="preserve"> with</w:t>
      </w:r>
      <w:r w:rsidR="002E3523">
        <w:t xml:space="preserve"> the</w:t>
      </w:r>
      <w:r w:rsidR="001A239E">
        <w:t xml:space="preserve"> Gold-standard </w:t>
      </w:r>
      <w:r w:rsidR="00802923">
        <w:t>(Multi-echo GRE)</w:t>
      </w:r>
      <w:r w:rsidR="00802923">
        <w:t xml:space="preserve"> </w:t>
      </w:r>
      <w:r w:rsidR="00802923">
        <w:t>T2* mapping result</w:t>
      </w:r>
      <w:r w:rsidR="001A239E">
        <w:t>.</w:t>
      </w:r>
      <w:r w:rsidR="002E3523">
        <w:t xml:space="preserve"> 7-periodic or 12-periodic ka-SPGR with repetition time = 6ms are suggested </w:t>
      </w:r>
      <w:r w:rsidR="000F0034">
        <w:t xml:space="preserve">for </w:t>
      </w:r>
      <w:r w:rsidR="00094AD3">
        <w:t>optimising</w:t>
      </w:r>
      <w:r w:rsidR="000F0034">
        <w:t xml:space="preserve"> </w:t>
      </w:r>
      <w:r w:rsidR="00094AD3">
        <w:t xml:space="preserve">the </w:t>
      </w:r>
      <w:r w:rsidR="000F0034">
        <w:t>performance</w:t>
      </w:r>
      <w:r w:rsidR="00094AD3">
        <w:t xml:space="preserve">. The </w:t>
      </w:r>
      <w:r w:rsidR="000F0034">
        <w:t xml:space="preserve">12-periodic </w:t>
      </w:r>
      <w:r w:rsidR="00094AD3">
        <w:t xml:space="preserve">ka-SPGR </w:t>
      </w:r>
      <w:r w:rsidR="000F0034">
        <w:t>is more robust to noise</w:t>
      </w:r>
      <w:r w:rsidR="00094AD3">
        <w:t>,</w:t>
      </w:r>
      <w:r w:rsidR="000F0034">
        <w:t xml:space="preserve"> while </w:t>
      </w:r>
      <w:r w:rsidR="00094AD3">
        <w:t xml:space="preserve">the </w:t>
      </w:r>
      <w:r w:rsidR="000F0034">
        <w:t xml:space="preserve">7-periodic </w:t>
      </w:r>
      <w:r w:rsidR="00875109">
        <w:t>provides</w:t>
      </w:r>
      <w:r w:rsidR="000F0034">
        <w:t xml:space="preserve"> better efficiency. The accuracy and precision of both sequences are proven by </w:t>
      </w:r>
      <w:r w:rsidR="00875109">
        <w:t xml:space="preserve">analysing </w:t>
      </w:r>
      <w:r w:rsidR="000F0034">
        <w:t xml:space="preserve">simulation and phantom experiment results for a percentage bias &lt; +-10%. </w:t>
      </w:r>
      <w:r w:rsidR="00CB2A13">
        <w:t>However, t</w:t>
      </w:r>
      <w:r w:rsidR="000F0034">
        <w:t>he study is limited by the phantom</w:t>
      </w:r>
      <w:r w:rsidR="00CB2A13">
        <w:t xml:space="preserve">’s lack of alignment with substantia nigra tissue property and can be improved using a phantom specifically adjust for SN. Additionally, to further prove the </w:t>
      </w:r>
      <w:r w:rsidR="00C91C0C">
        <w:t>reliability</w:t>
      </w:r>
      <w:r w:rsidR="00CB2A13">
        <w:t xml:space="preserve"> of ka-SPGR</w:t>
      </w:r>
      <w:r w:rsidR="00C91C0C">
        <w:t xml:space="preserve"> for PD biomarker detection,</w:t>
      </w:r>
      <w:r w:rsidR="00CB2A13">
        <w:t xml:space="preserve"> </w:t>
      </w:r>
      <w:r w:rsidR="00C91C0C">
        <w:t xml:space="preserve">massive </w:t>
      </w:r>
      <w:r w:rsidR="00CB2A13">
        <w:t xml:space="preserve">in-vivo experiments are desirable to evaluate </w:t>
      </w:r>
      <w:r w:rsidR="00875109">
        <w:rPr>
          <w:rFonts w:hint="eastAsia"/>
        </w:rPr>
        <w:t>its</w:t>
      </w:r>
      <w:r w:rsidR="00875109">
        <w:t xml:space="preserve"> </w:t>
      </w:r>
      <w:r w:rsidR="00CB2A13">
        <w:t>performance in realistic and complex environments.</w:t>
      </w:r>
    </w:p>
    <w:p w14:paraId="45F910C6" w14:textId="7F055CA9" w:rsidR="006E3F1A" w:rsidRDefault="006E3F1A" w:rsidP="006E3F1A"/>
    <w:p w14:paraId="0BC0AC58" w14:textId="77777777" w:rsidR="006E3F1A" w:rsidRDefault="006E3F1A" w:rsidP="006E3F1A">
      <w:pPr>
        <w:rPr>
          <w:rFonts w:hint="eastAsia"/>
        </w:rPr>
      </w:pPr>
    </w:p>
    <w:p w14:paraId="37E06858" w14:textId="4D84E4AC" w:rsidR="000F0034" w:rsidRPr="00A5257C" w:rsidRDefault="000F0034" w:rsidP="006E3F1A">
      <w:pPr>
        <w:rPr>
          <w:rFonts w:hint="eastAsia"/>
        </w:rPr>
      </w:pPr>
    </w:p>
    <w:sectPr w:rsidR="000F0034" w:rsidRPr="00A5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F610" w14:textId="77777777" w:rsidR="00921571" w:rsidRDefault="00921571" w:rsidP="00A5257C">
      <w:r>
        <w:separator/>
      </w:r>
    </w:p>
  </w:endnote>
  <w:endnote w:type="continuationSeparator" w:id="0">
    <w:p w14:paraId="3EADDB30" w14:textId="77777777" w:rsidR="00921571" w:rsidRDefault="00921571" w:rsidP="00A5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91EB" w14:textId="77777777" w:rsidR="00921571" w:rsidRDefault="00921571" w:rsidP="00A5257C">
      <w:r>
        <w:separator/>
      </w:r>
    </w:p>
  </w:footnote>
  <w:footnote w:type="continuationSeparator" w:id="0">
    <w:p w14:paraId="08B9A187" w14:textId="77777777" w:rsidR="00921571" w:rsidRDefault="00921571" w:rsidP="00A52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78"/>
    <w:rsid w:val="00094AD3"/>
    <w:rsid w:val="000F0034"/>
    <w:rsid w:val="001404C5"/>
    <w:rsid w:val="001A239E"/>
    <w:rsid w:val="002E3523"/>
    <w:rsid w:val="006E3F1A"/>
    <w:rsid w:val="00802923"/>
    <w:rsid w:val="00804998"/>
    <w:rsid w:val="00875109"/>
    <w:rsid w:val="00921571"/>
    <w:rsid w:val="00A5257C"/>
    <w:rsid w:val="00C74C78"/>
    <w:rsid w:val="00C91C0C"/>
    <w:rsid w:val="00CB2A13"/>
    <w:rsid w:val="00C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D69A8"/>
  <w15:chartTrackingRefBased/>
  <w15:docId w15:val="{1E72210C-F4FD-4B64-B623-DAE38B94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57C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A5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57C"/>
    <w:rPr>
      <w:sz w:val="18"/>
      <w:szCs w:val="18"/>
      <w:lang w:val="en-GB"/>
    </w:rPr>
  </w:style>
  <w:style w:type="character" w:customStyle="1" w:styleId="DraftPaper12Char">
    <w:name w:val="Draft Paper 12 Char"/>
    <w:basedOn w:val="a0"/>
    <w:link w:val="DraftPaper12"/>
    <w:locked/>
    <w:rsid w:val="00A5257C"/>
    <w:rPr>
      <w:kern w:val="14"/>
      <w:sz w:val="22"/>
      <w:lang w:val="en-GB" w:eastAsia="en-GB"/>
    </w:rPr>
  </w:style>
  <w:style w:type="paragraph" w:customStyle="1" w:styleId="DraftPaper12">
    <w:name w:val="Draft Paper 12"/>
    <w:basedOn w:val="2"/>
    <w:link w:val="DraftPaper12Char"/>
    <w:qFormat/>
    <w:rsid w:val="00A5257C"/>
    <w:pPr>
      <w:widowControl/>
      <w:overflowPunct w:val="0"/>
      <w:autoSpaceDE w:val="0"/>
      <w:autoSpaceDN w:val="0"/>
      <w:adjustRightInd w:val="0"/>
      <w:snapToGrid w:val="0"/>
      <w:spacing w:before="120" w:line="276" w:lineRule="auto"/>
      <w:ind w:firstLine="454"/>
      <w:contextualSpacing/>
    </w:pPr>
    <w:rPr>
      <w:kern w:val="14"/>
      <w:sz w:val="22"/>
      <w:lang w:eastAsia="en-GB"/>
    </w:rPr>
  </w:style>
  <w:style w:type="paragraph" w:styleId="2">
    <w:name w:val="Body Text 2"/>
    <w:basedOn w:val="a"/>
    <w:link w:val="20"/>
    <w:uiPriority w:val="99"/>
    <w:semiHidden/>
    <w:unhideWhenUsed/>
    <w:rsid w:val="00A5257C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A5257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233</Words>
  <Characters>1264</Characters>
  <Application>Microsoft Office Word</Application>
  <DocSecurity>0</DocSecurity>
  <Lines>37</Lines>
  <Paragraphs>33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6</cp:revision>
  <dcterms:created xsi:type="dcterms:W3CDTF">2023-06-11T12:51:00Z</dcterms:created>
  <dcterms:modified xsi:type="dcterms:W3CDTF">2023-06-11T15:18:00Z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1539172b6e39a92462c6cf0ce6e8bf52e2e52aaee6f5ca5b845f5601542af29d</vt:lpwstr>
  </property>
</Properties>
</file>