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170" w:lineRule="auto"/>
      </w:pPr>
      <w:r>
        <w:rPr>
          <w:w w:val="85"/>
        </w:rPr>
        <w:t>Instructions</w:t>
      </w:r>
      <w:r>
        <w:rPr>
          <w:spacing w:val="-18"/>
          <w:w w:val="85"/>
        </w:rPr>
        <w:t> </w:t>
      </w:r>
      <w:r>
        <w:rPr>
          <w:w w:val="85"/>
        </w:rPr>
        <w:t>for</w:t>
      </w:r>
      <w:r>
        <w:rPr>
          <w:spacing w:val="-17"/>
          <w:w w:val="85"/>
        </w:rPr>
        <w:t> </w:t>
      </w:r>
      <w:r>
        <w:rPr>
          <w:w w:val="85"/>
        </w:rPr>
        <w:t>Form </w:t>
      </w:r>
      <w:r>
        <w:rPr>
          <w:spacing w:val="-2"/>
          <w:w w:val="90"/>
        </w:rPr>
        <w:t>1099-DIV</w:t>
      </w:r>
    </w:p>
    <w:p>
      <w:pPr>
        <w:spacing w:before="19"/>
        <w:ind w:left="120" w:right="0" w:firstLine="0"/>
        <w:jc w:val="left"/>
        <w:rPr>
          <w:sz w:val="36"/>
        </w:rPr>
      </w:pPr>
      <w:r>
        <w:rPr>
          <w:spacing w:val="-6"/>
          <w:sz w:val="36"/>
        </w:rPr>
        <w:t>(Rev.</w:t>
      </w:r>
      <w:r>
        <w:rPr>
          <w:spacing w:val="-11"/>
          <w:sz w:val="36"/>
        </w:rPr>
        <w:t> </w:t>
      </w:r>
      <w:r>
        <w:rPr>
          <w:spacing w:val="-6"/>
          <w:sz w:val="36"/>
        </w:rPr>
        <w:t>January</w:t>
      </w:r>
      <w:r>
        <w:rPr>
          <w:spacing w:val="-10"/>
          <w:sz w:val="36"/>
        </w:rPr>
        <w:t> </w:t>
      </w:r>
      <w:r>
        <w:rPr>
          <w:spacing w:val="-6"/>
          <w:sz w:val="36"/>
        </w:rPr>
        <w:t>2024)</w:t>
      </w:r>
    </w:p>
    <w:p>
      <w:pPr>
        <w:spacing w:before="48"/>
        <w:ind w:left="120"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29664">
                <wp:simplePos x="0" y="0"/>
                <wp:positionH relativeFrom="page">
                  <wp:posOffset>533400</wp:posOffset>
                </wp:positionH>
                <wp:positionV relativeFrom="paragraph">
                  <wp:posOffset>237202</wp:posOffset>
                </wp:positionV>
                <wp:extent cx="670560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705600" cy="1270"/>
                        </a:xfrm>
                        <a:custGeom>
                          <a:avLst/>
                          <a:gdLst/>
                          <a:ahLst/>
                          <a:cxnLst/>
                          <a:rect l="l" t="t" r="r" b="b"/>
                          <a:pathLst>
                            <a:path w="6705600" h="0">
                              <a:moveTo>
                                <a:pt x="6705600" y="0"/>
                              </a:moveTo>
                              <a:lnTo>
                                <a:pt x="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570pt,18.677368pt" to="42pt,18.677368pt" stroked="true" strokeweight="2pt" strokecolor="#000000">
                <v:stroke dashstyle="solid"/>
                <w10:wrap type="none"/>
              </v:line>
            </w:pict>
          </mc:Fallback>
        </mc:AlternateContent>
      </w:r>
      <w:r>
        <w:rPr>
          <w:rFonts w:ascii="Arial"/>
          <w:b/>
          <w:w w:val="110"/>
          <w:sz w:val="24"/>
        </w:rPr>
        <w:t>Dividends</w:t>
      </w:r>
      <w:r>
        <w:rPr>
          <w:rFonts w:ascii="Arial"/>
          <w:b/>
          <w:spacing w:val="-19"/>
          <w:w w:val="110"/>
          <w:sz w:val="24"/>
        </w:rPr>
        <w:t> </w:t>
      </w:r>
      <w:r>
        <w:rPr>
          <w:rFonts w:ascii="Arial"/>
          <w:b/>
          <w:w w:val="110"/>
          <w:sz w:val="24"/>
        </w:rPr>
        <w:t>and</w:t>
      </w:r>
      <w:r>
        <w:rPr>
          <w:rFonts w:ascii="Arial"/>
          <w:b/>
          <w:spacing w:val="-18"/>
          <w:w w:val="110"/>
          <w:sz w:val="24"/>
        </w:rPr>
        <w:t> </w:t>
      </w:r>
      <w:r>
        <w:rPr>
          <w:rFonts w:ascii="Arial"/>
          <w:b/>
          <w:spacing w:val="-2"/>
          <w:w w:val="110"/>
          <w:sz w:val="24"/>
        </w:rPr>
        <w:t>Distributions</w:t>
      </w:r>
    </w:p>
    <w:p>
      <w:pPr>
        <w:pStyle w:val="BodyText"/>
        <w:spacing w:line="232" w:lineRule="auto" w:before="218"/>
        <w:ind w:right="38"/>
      </w:pPr>
      <w:r>
        <w:rPr>
          <w:spacing w:val="-2"/>
        </w:rPr>
        <w:t>Section</w:t>
      </w:r>
      <w:r>
        <w:rPr>
          <w:spacing w:val="-6"/>
        </w:rPr>
        <w:t> </w:t>
      </w:r>
      <w:r>
        <w:rPr>
          <w:spacing w:val="-2"/>
        </w:rPr>
        <w:t>references</w:t>
      </w:r>
      <w:r>
        <w:rPr>
          <w:spacing w:val="-6"/>
        </w:rPr>
        <w:t> </w:t>
      </w:r>
      <w:r>
        <w:rPr>
          <w:spacing w:val="-2"/>
        </w:rPr>
        <w:t>are</w:t>
      </w:r>
      <w:r>
        <w:rPr>
          <w:spacing w:val="-6"/>
        </w:rPr>
        <w:t> </w:t>
      </w:r>
      <w:r>
        <w:rPr>
          <w:spacing w:val="-2"/>
        </w:rPr>
        <w:t>to</w:t>
      </w:r>
      <w:r>
        <w:rPr>
          <w:spacing w:val="-6"/>
        </w:rPr>
        <w:t> </w:t>
      </w:r>
      <w:r>
        <w:rPr>
          <w:spacing w:val="-2"/>
        </w:rPr>
        <w:t>the</w:t>
      </w:r>
      <w:r>
        <w:rPr>
          <w:spacing w:val="-6"/>
        </w:rPr>
        <w:t> </w:t>
      </w:r>
      <w:r>
        <w:rPr>
          <w:spacing w:val="-2"/>
        </w:rPr>
        <w:t>Internal</w:t>
      </w:r>
      <w:r>
        <w:rPr>
          <w:spacing w:val="-6"/>
        </w:rPr>
        <w:t> </w:t>
      </w:r>
      <w:r>
        <w:rPr>
          <w:spacing w:val="-2"/>
        </w:rPr>
        <w:t>Revenue</w:t>
      </w:r>
      <w:r>
        <w:rPr>
          <w:spacing w:val="-6"/>
        </w:rPr>
        <w:t> </w:t>
      </w:r>
      <w:r>
        <w:rPr>
          <w:spacing w:val="-2"/>
        </w:rPr>
        <w:t>Code </w:t>
      </w:r>
      <w:r>
        <w:rPr/>
        <w:t>unless otherwise noted.</w:t>
      </w:r>
    </w:p>
    <w:p>
      <w:pPr>
        <w:pStyle w:val="Heading1"/>
        <w:spacing w:before="53"/>
        <w:ind w:left="120"/>
      </w:pPr>
      <w:bookmarkStart w:name="Future Developments" w:id="1"/>
      <w:bookmarkEnd w:id="1"/>
      <w:r>
        <w:rPr/>
      </w:r>
      <w:bookmarkStart w:name="Specific Instructions" w:id="2"/>
      <w:bookmarkEnd w:id="2"/>
      <w:r>
        <w:rPr/>
      </w:r>
      <w:r>
        <w:rPr>
          <w:w w:val="85"/>
        </w:rPr>
        <w:t>Future</w:t>
      </w:r>
      <w:r>
        <w:rPr>
          <w:spacing w:val="-1"/>
          <w:w w:val="95"/>
        </w:rPr>
        <w:t> </w:t>
      </w:r>
      <w:r>
        <w:rPr>
          <w:spacing w:val="-2"/>
          <w:w w:val="95"/>
        </w:rPr>
        <w:t>Developments</w:t>
      </w:r>
    </w:p>
    <w:p>
      <w:pPr>
        <w:pStyle w:val="BodyText"/>
        <w:spacing w:line="232" w:lineRule="auto" w:before="14"/>
        <w:ind w:right="38"/>
      </w:pPr>
      <w:r>
        <w:rPr/>
        <w:t>For</w:t>
      </w:r>
      <w:r>
        <w:rPr>
          <w:spacing w:val="-14"/>
        </w:rPr>
        <w:t> </w:t>
      </w:r>
      <w:r>
        <w:rPr/>
        <w:t>the</w:t>
      </w:r>
      <w:r>
        <w:rPr>
          <w:spacing w:val="-14"/>
        </w:rPr>
        <w:t> </w:t>
      </w:r>
      <w:r>
        <w:rPr/>
        <w:t>latest</w:t>
      </w:r>
      <w:r>
        <w:rPr>
          <w:spacing w:val="-14"/>
        </w:rPr>
        <w:t> </w:t>
      </w:r>
      <w:r>
        <w:rPr/>
        <w:t>information</w:t>
      </w:r>
      <w:r>
        <w:rPr>
          <w:spacing w:val="-14"/>
        </w:rPr>
        <w:t> </w:t>
      </w:r>
      <w:r>
        <w:rPr/>
        <w:t>about</w:t>
      </w:r>
      <w:r>
        <w:rPr>
          <w:spacing w:val="-14"/>
        </w:rPr>
        <w:t> </w:t>
      </w:r>
      <w:r>
        <w:rPr/>
        <w:t>developments</w:t>
      </w:r>
      <w:r>
        <w:rPr>
          <w:spacing w:val="-14"/>
        </w:rPr>
        <w:t> </w:t>
      </w:r>
      <w:r>
        <w:rPr/>
        <w:t>related</w:t>
      </w:r>
      <w:r>
        <w:rPr>
          <w:spacing w:val="-14"/>
        </w:rPr>
        <w:t> </w:t>
      </w:r>
      <w:r>
        <w:rPr/>
        <w:t>to Form 1099-DIV and its instructions, such as legislation enacted after they were published, go to </w:t>
      </w:r>
      <w:hyperlink r:id="rId7">
        <w:r>
          <w:rPr>
            <w:rFonts w:ascii="Arial"/>
            <w:i/>
            <w:color w:val="0056A2"/>
            <w:u w:val="single" w:color="0055A1"/>
          </w:rPr>
          <w:t>IRS.gov/</w:t>
        </w:r>
      </w:hyperlink>
      <w:r>
        <w:rPr>
          <w:rFonts w:ascii="Arial"/>
          <w:i/>
          <w:color w:val="0056A2"/>
        </w:rPr>
        <w:t> </w:t>
      </w:r>
      <w:hyperlink r:id="rId7">
        <w:r>
          <w:rPr>
            <w:rFonts w:ascii="Arial"/>
            <w:i/>
            <w:color w:val="0056A2"/>
            <w:spacing w:val="-2"/>
            <w:u w:val="single" w:color="0055A1"/>
          </w:rPr>
          <w:t>Form1099DIV</w:t>
        </w:r>
      </w:hyperlink>
      <w:r>
        <w:rPr>
          <w:spacing w:val="-2"/>
        </w:rPr>
        <w:t>.</w:t>
      </w:r>
    </w:p>
    <w:p>
      <w:pPr>
        <w:pStyle w:val="Heading1"/>
        <w:spacing w:before="34"/>
      </w:pPr>
      <w:bookmarkStart w:name="What’s New" w:id="3"/>
      <w:bookmarkEnd w:id="3"/>
      <w:r>
        <w:rPr/>
      </w:r>
      <w:r>
        <w:rPr>
          <w:w w:val="85"/>
        </w:rPr>
        <w:t>What’s</w:t>
      </w:r>
      <w:r>
        <w:rPr>
          <w:spacing w:val="5"/>
        </w:rPr>
        <w:t> </w:t>
      </w:r>
      <w:r>
        <w:rPr>
          <w:spacing w:val="-5"/>
          <w:w w:val="95"/>
        </w:rPr>
        <w:t>New</w:t>
      </w:r>
    </w:p>
    <w:p>
      <w:pPr>
        <w:pStyle w:val="BodyText"/>
        <w:spacing w:line="230" w:lineRule="auto" w:before="65"/>
        <w:ind w:left="119" w:right="38"/>
      </w:pPr>
      <w:r>
        <w:rPr>
          <w:rFonts w:ascii="Arial Black"/>
        </w:rPr>
        <w:t>E-filing</w:t>
      </w:r>
      <w:r>
        <w:rPr>
          <w:rFonts w:ascii="Arial Black"/>
          <w:spacing w:val="-17"/>
        </w:rPr>
        <w:t> </w:t>
      </w:r>
      <w:r>
        <w:rPr>
          <w:rFonts w:ascii="Arial Black"/>
        </w:rPr>
        <w:t>returns.</w:t>
      </w:r>
      <w:r>
        <w:rPr>
          <w:rFonts w:ascii="Arial Black"/>
          <w:spacing w:val="-3"/>
        </w:rPr>
        <w:t> </w:t>
      </w:r>
      <w:r>
        <w:rPr/>
        <w:t>The</w:t>
      </w:r>
      <w:r>
        <w:rPr>
          <w:spacing w:val="-14"/>
        </w:rPr>
        <w:t> </w:t>
      </w:r>
      <w:r>
        <w:rPr/>
        <w:t>Taxpayer</w:t>
      </w:r>
      <w:r>
        <w:rPr>
          <w:spacing w:val="-13"/>
        </w:rPr>
        <w:t> </w:t>
      </w:r>
      <w:r>
        <w:rPr/>
        <w:t>First</w:t>
      </w:r>
      <w:r>
        <w:rPr>
          <w:spacing w:val="-14"/>
        </w:rPr>
        <w:t> </w:t>
      </w:r>
      <w:r>
        <w:rPr/>
        <w:t>Act</w:t>
      </w:r>
      <w:r>
        <w:rPr>
          <w:spacing w:val="-14"/>
        </w:rPr>
        <w:t> </w:t>
      </w:r>
      <w:r>
        <w:rPr/>
        <w:t>of</w:t>
      </w:r>
      <w:r>
        <w:rPr>
          <w:spacing w:val="-14"/>
        </w:rPr>
        <w:t> </w:t>
      </w:r>
      <w:r>
        <w:rPr/>
        <w:t>2019 authorized</w:t>
      </w:r>
      <w:r>
        <w:rPr>
          <w:spacing w:val="-13"/>
        </w:rPr>
        <w:t> </w:t>
      </w:r>
      <w:r>
        <w:rPr/>
        <w:t>the</w:t>
      </w:r>
      <w:r>
        <w:rPr>
          <w:spacing w:val="-13"/>
        </w:rPr>
        <w:t> </w:t>
      </w:r>
      <w:r>
        <w:rPr/>
        <w:t>Department</w:t>
      </w:r>
      <w:r>
        <w:rPr>
          <w:spacing w:val="-13"/>
        </w:rPr>
        <w:t> </w:t>
      </w:r>
      <w:r>
        <w:rPr/>
        <w:t>of</w:t>
      </w:r>
      <w:r>
        <w:rPr>
          <w:spacing w:val="-13"/>
        </w:rPr>
        <w:t> </w:t>
      </w:r>
      <w:r>
        <w:rPr/>
        <w:t>the</w:t>
      </w:r>
      <w:r>
        <w:rPr>
          <w:spacing w:val="-13"/>
        </w:rPr>
        <w:t> </w:t>
      </w:r>
      <w:r>
        <w:rPr/>
        <w:t>Treasury</w:t>
      </w:r>
      <w:r>
        <w:rPr>
          <w:spacing w:val="-13"/>
        </w:rPr>
        <w:t> </w:t>
      </w:r>
      <w:r>
        <w:rPr/>
        <w:t>and</w:t>
      </w:r>
      <w:r>
        <w:rPr>
          <w:spacing w:val="-13"/>
        </w:rPr>
        <w:t> </w:t>
      </w:r>
      <w:r>
        <w:rPr/>
        <w:t>the</w:t>
      </w:r>
      <w:r>
        <w:rPr>
          <w:spacing w:val="-13"/>
        </w:rPr>
        <w:t> </w:t>
      </w:r>
      <w:r>
        <w:rPr/>
        <w:t>IRS</w:t>
      </w:r>
      <w:r>
        <w:rPr>
          <w:spacing w:val="-13"/>
        </w:rPr>
        <w:t> </w:t>
      </w:r>
      <w:r>
        <w:rPr/>
        <w:t>to issue regulations that reduce the 250-return e-file threshold. T.D. 9972, published February 23, 2023, lowered the e-file threshold to 10 (calculated by </w:t>
      </w:r>
      <w:bookmarkStart w:name="Dividends" w:id="4"/>
      <w:bookmarkEnd w:id="4"/>
      <w:r>
        <w:rPr/>
        <w:t>agg</w:t>
      </w:r>
      <w:r>
        <w:rPr/>
        <w:t>regating all information returns), effective for information</w:t>
      </w:r>
      <w:r>
        <w:rPr>
          <w:spacing w:val="-14"/>
        </w:rPr>
        <w:t> </w:t>
      </w:r>
      <w:r>
        <w:rPr/>
        <w:t>returns</w:t>
      </w:r>
      <w:r>
        <w:rPr>
          <w:spacing w:val="-14"/>
        </w:rPr>
        <w:t> </w:t>
      </w:r>
      <w:r>
        <w:rPr/>
        <w:t>required</w:t>
      </w:r>
      <w:r>
        <w:rPr>
          <w:spacing w:val="-14"/>
        </w:rPr>
        <w:t> </w:t>
      </w:r>
      <w:r>
        <w:rPr/>
        <w:t>to</w:t>
      </w:r>
      <w:r>
        <w:rPr>
          <w:spacing w:val="-14"/>
        </w:rPr>
        <w:t> </w:t>
      </w:r>
      <w:r>
        <w:rPr/>
        <w:t>be</w:t>
      </w:r>
      <w:r>
        <w:rPr>
          <w:spacing w:val="-14"/>
        </w:rPr>
        <w:t> </w:t>
      </w:r>
      <w:r>
        <w:rPr/>
        <w:t>filed</w:t>
      </w:r>
      <w:r>
        <w:rPr>
          <w:spacing w:val="-14"/>
        </w:rPr>
        <w:t> </w:t>
      </w:r>
      <w:r>
        <w:rPr/>
        <w:t>on</w:t>
      </w:r>
      <w:r>
        <w:rPr>
          <w:spacing w:val="-14"/>
        </w:rPr>
        <w:t> </w:t>
      </w:r>
      <w:r>
        <w:rPr/>
        <w:t>or</w:t>
      </w:r>
      <w:r>
        <w:rPr>
          <w:spacing w:val="-13"/>
        </w:rPr>
        <w:t> </w:t>
      </w:r>
      <w:r>
        <w:rPr/>
        <w:t>after</w:t>
      </w:r>
      <w:r>
        <w:rPr>
          <w:spacing w:val="-14"/>
        </w:rPr>
        <w:t> </w:t>
      </w:r>
      <w:r>
        <w:rPr/>
        <w:t>January 1, 2024. Go to </w:t>
      </w:r>
      <w:hyperlink r:id="rId8">
        <w:r>
          <w:rPr>
            <w:rFonts w:ascii="Arial"/>
            <w:i/>
            <w:color w:val="0056A2"/>
            <w:u w:val="single" w:color="0055A1"/>
          </w:rPr>
          <w:t>IRS.gov/InfoReturn</w:t>
        </w:r>
      </w:hyperlink>
      <w:r>
        <w:rPr>
          <w:rFonts w:ascii="Arial"/>
          <w:i/>
          <w:color w:val="0056A2"/>
        </w:rPr>
        <w:t> </w:t>
      </w:r>
      <w:r>
        <w:rPr/>
        <w:t>for e-file options.</w:t>
      </w:r>
    </w:p>
    <w:p>
      <w:pPr>
        <w:pStyle w:val="Heading1"/>
        <w:spacing w:before="36"/>
        <w:ind w:left="120"/>
      </w:pPr>
      <w:bookmarkStart w:name="Reminders" w:id="5"/>
      <w:bookmarkEnd w:id="5"/>
      <w:r>
        <w:rPr/>
      </w:r>
      <w:r>
        <w:rPr>
          <w:spacing w:val="-2"/>
        </w:rPr>
        <w:t>Reminders</w:t>
      </w:r>
    </w:p>
    <w:p>
      <w:pPr>
        <w:pStyle w:val="BodyText"/>
        <w:spacing w:line="232" w:lineRule="auto" w:before="14"/>
        <w:ind w:left="119" w:right="38"/>
      </w:pPr>
      <w:r>
        <w:rPr/>
        <w:t>In</w:t>
      </w:r>
      <w:r>
        <w:rPr>
          <w:spacing w:val="-13"/>
        </w:rPr>
        <w:t> </w:t>
      </w:r>
      <w:r>
        <w:rPr/>
        <w:t>addition</w:t>
      </w:r>
      <w:r>
        <w:rPr>
          <w:spacing w:val="-13"/>
        </w:rPr>
        <w:t> </w:t>
      </w:r>
      <w:r>
        <w:rPr/>
        <w:t>to</w:t>
      </w:r>
      <w:r>
        <w:rPr>
          <w:spacing w:val="-13"/>
        </w:rPr>
        <w:t> </w:t>
      </w:r>
      <w:r>
        <w:rPr/>
        <w:t>these</w:t>
      </w:r>
      <w:r>
        <w:rPr>
          <w:spacing w:val="-13"/>
        </w:rPr>
        <w:t> </w:t>
      </w:r>
      <w:r>
        <w:rPr/>
        <w:t>specific</w:t>
      </w:r>
      <w:r>
        <w:rPr>
          <w:spacing w:val="-13"/>
        </w:rPr>
        <w:t> </w:t>
      </w:r>
      <w:r>
        <w:rPr/>
        <w:t>instructions,</w:t>
      </w:r>
      <w:r>
        <w:rPr>
          <w:spacing w:val="-13"/>
        </w:rPr>
        <w:t> </w:t>
      </w:r>
      <w:r>
        <w:rPr/>
        <w:t>you</w:t>
      </w:r>
      <w:r>
        <w:rPr>
          <w:spacing w:val="-13"/>
        </w:rPr>
        <w:t> </w:t>
      </w:r>
      <w:r>
        <w:rPr/>
        <w:t>should</w:t>
      </w:r>
      <w:r>
        <w:rPr>
          <w:spacing w:val="-13"/>
        </w:rPr>
        <w:t> </w:t>
      </w:r>
      <w:r>
        <w:rPr/>
        <w:t>also use the current General Instructions for Certain Information</w:t>
      </w:r>
      <w:r>
        <w:rPr>
          <w:spacing w:val="-5"/>
        </w:rPr>
        <w:t> </w:t>
      </w:r>
      <w:r>
        <w:rPr/>
        <w:t>Returns.</w:t>
      </w:r>
      <w:r>
        <w:rPr>
          <w:spacing w:val="-5"/>
        </w:rPr>
        <w:t> </w:t>
      </w:r>
      <w:r>
        <w:rPr/>
        <w:t>Those</w:t>
      </w:r>
      <w:r>
        <w:rPr>
          <w:spacing w:val="-5"/>
        </w:rPr>
        <w:t> </w:t>
      </w:r>
      <w:r>
        <w:rPr/>
        <w:t>general</w:t>
      </w:r>
      <w:r>
        <w:rPr>
          <w:spacing w:val="-5"/>
        </w:rPr>
        <w:t> </w:t>
      </w:r>
      <w:r>
        <w:rPr/>
        <w:t>instructions</w:t>
      </w:r>
      <w:r>
        <w:rPr>
          <w:spacing w:val="-5"/>
        </w:rPr>
        <w:t> </w:t>
      </w:r>
      <w:r>
        <w:rPr/>
        <w:t>include information about the following topics.</w:t>
      </w:r>
    </w:p>
    <w:p>
      <w:pPr>
        <w:pStyle w:val="ListParagraph"/>
        <w:numPr>
          <w:ilvl w:val="0"/>
          <w:numId w:val="1"/>
        </w:numPr>
        <w:tabs>
          <w:tab w:pos="329" w:val="left" w:leader="none"/>
        </w:tabs>
        <w:spacing w:line="220" w:lineRule="exact" w:before="0" w:after="0"/>
        <w:ind w:left="329" w:right="0" w:hanging="194"/>
        <w:jc w:val="left"/>
        <w:rPr>
          <w:position w:val="1"/>
          <w:sz w:val="20"/>
        </w:rPr>
      </w:pPr>
      <w:bookmarkStart w:name="Exceptions" w:id="6"/>
      <w:bookmarkEnd w:id="6"/>
      <w:r>
        <w:rPr/>
      </w:r>
      <w:r>
        <w:rPr>
          <w:position w:val="1"/>
          <w:sz w:val="20"/>
        </w:rPr>
        <w:t>Who</w:t>
      </w:r>
      <w:r>
        <w:rPr>
          <w:spacing w:val="-11"/>
          <w:position w:val="1"/>
          <w:sz w:val="20"/>
        </w:rPr>
        <w:t> </w:t>
      </w:r>
      <w:r>
        <w:rPr>
          <w:position w:val="1"/>
          <w:sz w:val="20"/>
        </w:rPr>
        <w:t>must</w:t>
      </w:r>
      <w:r>
        <w:rPr>
          <w:spacing w:val="-10"/>
          <w:position w:val="1"/>
          <w:sz w:val="20"/>
        </w:rPr>
        <w:t> </w:t>
      </w:r>
      <w:r>
        <w:rPr>
          <w:spacing w:val="-2"/>
          <w:position w:val="1"/>
          <w:sz w:val="20"/>
        </w:rPr>
        <w:t>file.</w:t>
      </w:r>
    </w:p>
    <w:p>
      <w:pPr>
        <w:pStyle w:val="ListParagraph"/>
        <w:numPr>
          <w:ilvl w:val="0"/>
          <w:numId w:val="1"/>
        </w:numPr>
        <w:tabs>
          <w:tab w:pos="329" w:val="left" w:leader="none"/>
        </w:tabs>
        <w:spacing w:line="224" w:lineRule="exact" w:before="0" w:after="0"/>
        <w:ind w:left="329" w:right="0" w:hanging="194"/>
        <w:jc w:val="left"/>
        <w:rPr>
          <w:position w:val="1"/>
          <w:sz w:val="20"/>
        </w:rPr>
      </w:pPr>
      <w:r>
        <w:rPr>
          <w:position w:val="1"/>
          <w:sz w:val="20"/>
        </w:rPr>
        <w:t>When</w:t>
      </w:r>
      <w:r>
        <w:rPr>
          <w:spacing w:val="-11"/>
          <w:position w:val="1"/>
          <w:sz w:val="20"/>
        </w:rPr>
        <w:t> </w:t>
      </w:r>
      <w:r>
        <w:rPr>
          <w:position w:val="1"/>
          <w:sz w:val="20"/>
        </w:rPr>
        <w:t>and</w:t>
      </w:r>
      <w:r>
        <w:rPr>
          <w:spacing w:val="-10"/>
          <w:position w:val="1"/>
          <w:sz w:val="20"/>
        </w:rPr>
        <w:t> </w:t>
      </w:r>
      <w:r>
        <w:rPr>
          <w:position w:val="1"/>
          <w:sz w:val="20"/>
        </w:rPr>
        <w:t>where</w:t>
      </w:r>
      <w:r>
        <w:rPr>
          <w:spacing w:val="-11"/>
          <w:position w:val="1"/>
          <w:sz w:val="20"/>
        </w:rPr>
        <w:t> </w:t>
      </w:r>
      <w:r>
        <w:rPr>
          <w:position w:val="1"/>
          <w:sz w:val="20"/>
        </w:rPr>
        <w:t>to</w:t>
      </w:r>
      <w:r>
        <w:rPr>
          <w:spacing w:val="-10"/>
          <w:position w:val="1"/>
          <w:sz w:val="20"/>
        </w:rPr>
        <w:t> </w:t>
      </w:r>
      <w:r>
        <w:rPr>
          <w:spacing w:val="-4"/>
          <w:position w:val="1"/>
          <w:sz w:val="20"/>
        </w:rPr>
        <w:t>file.</w:t>
      </w:r>
    </w:p>
    <w:p>
      <w:pPr>
        <w:pStyle w:val="ListParagraph"/>
        <w:numPr>
          <w:ilvl w:val="0"/>
          <w:numId w:val="1"/>
        </w:numPr>
        <w:tabs>
          <w:tab w:pos="329" w:val="left" w:leader="none"/>
        </w:tabs>
        <w:spacing w:line="224" w:lineRule="exact" w:before="0" w:after="0"/>
        <w:ind w:left="329" w:right="0" w:hanging="194"/>
        <w:jc w:val="left"/>
        <w:rPr>
          <w:position w:val="1"/>
          <w:sz w:val="20"/>
        </w:rPr>
      </w:pPr>
      <w:r>
        <w:rPr>
          <w:spacing w:val="-2"/>
          <w:position w:val="1"/>
          <w:sz w:val="20"/>
        </w:rPr>
        <w:t>Electronic</w:t>
      </w:r>
      <w:r>
        <w:rPr>
          <w:spacing w:val="5"/>
          <w:position w:val="1"/>
          <w:sz w:val="20"/>
        </w:rPr>
        <w:t> </w:t>
      </w:r>
      <w:r>
        <w:rPr>
          <w:spacing w:val="-2"/>
          <w:position w:val="1"/>
          <w:sz w:val="20"/>
        </w:rPr>
        <w:t>reporting.</w:t>
      </w:r>
    </w:p>
    <w:p>
      <w:pPr>
        <w:pStyle w:val="ListParagraph"/>
        <w:numPr>
          <w:ilvl w:val="0"/>
          <w:numId w:val="1"/>
        </w:numPr>
        <w:tabs>
          <w:tab w:pos="329" w:val="left" w:leader="none"/>
        </w:tabs>
        <w:spacing w:line="224" w:lineRule="exact" w:before="0" w:after="0"/>
        <w:ind w:left="329" w:right="0" w:hanging="194"/>
        <w:jc w:val="left"/>
        <w:rPr>
          <w:position w:val="1"/>
          <w:sz w:val="20"/>
        </w:rPr>
      </w:pPr>
      <w:r>
        <w:rPr>
          <w:position w:val="1"/>
          <w:sz w:val="20"/>
        </w:rPr>
        <w:t>Corrected</w:t>
      </w:r>
      <w:r>
        <w:rPr>
          <w:spacing w:val="-10"/>
          <w:position w:val="1"/>
          <w:sz w:val="20"/>
        </w:rPr>
        <w:t> </w:t>
      </w:r>
      <w:r>
        <w:rPr>
          <w:position w:val="1"/>
          <w:sz w:val="20"/>
        </w:rPr>
        <w:t>and</w:t>
      </w:r>
      <w:r>
        <w:rPr>
          <w:spacing w:val="-10"/>
          <w:position w:val="1"/>
          <w:sz w:val="20"/>
        </w:rPr>
        <w:t> </w:t>
      </w:r>
      <w:r>
        <w:rPr>
          <w:position w:val="1"/>
          <w:sz w:val="20"/>
        </w:rPr>
        <w:t>void</w:t>
      </w:r>
      <w:r>
        <w:rPr>
          <w:spacing w:val="-10"/>
          <w:position w:val="1"/>
          <w:sz w:val="20"/>
        </w:rPr>
        <w:t> </w:t>
      </w:r>
      <w:r>
        <w:rPr>
          <w:spacing w:val="-2"/>
          <w:position w:val="1"/>
          <w:sz w:val="20"/>
        </w:rPr>
        <w:t>returns.</w:t>
      </w:r>
    </w:p>
    <w:p>
      <w:pPr>
        <w:pStyle w:val="ListParagraph"/>
        <w:numPr>
          <w:ilvl w:val="0"/>
          <w:numId w:val="1"/>
        </w:numPr>
        <w:tabs>
          <w:tab w:pos="329" w:val="left" w:leader="none"/>
        </w:tabs>
        <w:spacing w:line="224" w:lineRule="exact" w:before="0" w:after="0"/>
        <w:ind w:left="329" w:right="0" w:hanging="194"/>
        <w:jc w:val="left"/>
        <w:rPr>
          <w:position w:val="1"/>
          <w:sz w:val="20"/>
        </w:rPr>
      </w:pPr>
      <w:r>
        <w:rPr>
          <w:position w:val="1"/>
          <w:sz w:val="20"/>
        </w:rPr>
        <w:t>Statements</w:t>
      </w:r>
      <w:r>
        <w:rPr>
          <w:spacing w:val="-13"/>
          <w:position w:val="1"/>
          <w:sz w:val="20"/>
        </w:rPr>
        <w:t> </w:t>
      </w:r>
      <w:r>
        <w:rPr>
          <w:position w:val="1"/>
          <w:sz w:val="20"/>
        </w:rPr>
        <w:t>to</w:t>
      </w:r>
      <w:r>
        <w:rPr>
          <w:spacing w:val="-13"/>
          <w:position w:val="1"/>
          <w:sz w:val="20"/>
        </w:rPr>
        <w:t> </w:t>
      </w:r>
      <w:r>
        <w:rPr>
          <w:spacing w:val="-2"/>
          <w:position w:val="1"/>
          <w:sz w:val="20"/>
        </w:rPr>
        <w:t>recipients.</w:t>
      </w:r>
    </w:p>
    <w:p>
      <w:pPr>
        <w:pStyle w:val="ListParagraph"/>
        <w:numPr>
          <w:ilvl w:val="0"/>
          <w:numId w:val="1"/>
        </w:numPr>
        <w:tabs>
          <w:tab w:pos="329" w:val="left" w:leader="none"/>
        </w:tabs>
        <w:spacing w:line="224" w:lineRule="exact" w:before="0" w:after="0"/>
        <w:ind w:left="329" w:right="0" w:hanging="194"/>
        <w:jc w:val="left"/>
        <w:rPr>
          <w:position w:val="1"/>
          <w:sz w:val="20"/>
        </w:rPr>
      </w:pPr>
      <w:r>
        <w:rPr>
          <w:spacing w:val="-2"/>
          <w:position w:val="1"/>
          <w:sz w:val="20"/>
        </w:rPr>
        <w:t>Taxpayer</w:t>
      </w:r>
      <w:r>
        <w:rPr>
          <w:spacing w:val="-6"/>
          <w:position w:val="1"/>
          <w:sz w:val="20"/>
        </w:rPr>
        <w:t> </w:t>
      </w:r>
      <w:r>
        <w:rPr>
          <w:spacing w:val="-2"/>
          <w:position w:val="1"/>
          <w:sz w:val="20"/>
        </w:rPr>
        <w:t>identification</w:t>
      </w:r>
      <w:r>
        <w:rPr>
          <w:spacing w:val="-6"/>
          <w:position w:val="1"/>
          <w:sz w:val="20"/>
        </w:rPr>
        <w:t> </w:t>
      </w:r>
      <w:r>
        <w:rPr>
          <w:spacing w:val="-2"/>
          <w:position w:val="1"/>
          <w:sz w:val="20"/>
        </w:rPr>
        <w:t>numbers</w:t>
      </w:r>
      <w:r>
        <w:rPr>
          <w:spacing w:val="-6"/>
          <w:position w:val="1"/>
          <w:sz w:val="20"/>
        </w:rPr>
        <w:t> </w:t>
      </w:r>
      <w:r>
        <w:rPr>
          <w:spacing w:val="-2"/>
          <w:position w:val="1"/>
          <w:sz w:val="20"/>
        </w:rPr>
        <w:t>(TINs).</w:t>
      </w:r>
    </w:p>
    <w:p>
      <w:pPr>
        <w:pStyle w:val="ListParagraph"/>
        <w:numPr>
          <w:ilvl w:val="0"/>
          <w:numId w:val="1"/>
        </w:numPr>
        <w:tabs>
          <w:tab w:pos="329" w:val="left" w:leader="none"/>
        </w:tabs>
        <w:spacing w:line="224" w:lineRule="exact" w:before="0" w:after="0"/>
        <w:ind w:left="329" w:right="0" w:hanging="194"/>
        <w:jc w:val="left"/>
        <w:rPr>
          <w:position w:val="1"/>
          <w:sz w:val="20"/>
        </w:rPr>
      </w:pPr>
      <w:r>
        <w:rPr>
          <w:position w:val="1"/>
          <w:sz w:val="20"/>
        </w:rPr>
        <w:t>Backup</w:t>
      </w:r>
      <w:r>
        <w:rPr>
          <w:spacing w:val="-7"/>
          <w:position w:val="1"/>
          <w:sz w:val="20"/>
        </w:rPr>
        <w:t> </w:t>
      </w:r>
      <w:r>
        <w:rPr>
          <w:spacing w:val="-2"/>
          <w:position w:val="1"/>
          <w:sz w:val="20"/>
        </w:rPr>
        <w:t>withholding.</w:t>
      </w:r>
    </w:p>
    <w:p>
      <w:pPr>
        <w:pStyle w:val="ListParagraph"/>
        <w:numPr>
          <w:ilvl w:val="0"/>
          <w:numId w:val="1"/>
        </w:numPr>
        <w:tabs>
          <w:tab w:pos="329" w:val="left" w:leader="none"/>
        </w:tabs>
        <w:spacing w:line="224" w:lineRule="exact" w:before="0" w:after="0"/>
        <w:ind w:left="329" w:right="0" w:hanging="194"/>
        <w:jc w:val="left"/>
        <w:rPr>
          <w:position w:val="1"/>
          <w:sz w:val="20"/>
        </w:rPr>
      </w:pPr>
      <w:r>
        <w:rPr>
          <w:spacing w:val="-2"/>
          <w:position w:val="1"/>
          <w:sz w:val="20"/>
        </w:rPr>
        <w:t>Penalties.</w:t>
      </w:r>
    </w:p>
    <w:p>
      <w:pPr>
        <w:pStyle w:val="ListParagraph"/>
        <w:numPr>
          <w:ilvl w:val="0"/>
          <w:numId w:val="1"/>
        </w:numPr>
        <w:tabs>
          <w:tab w:pos="329" w:val="left" w:leader="none"/>
        </w:tabs>
        <w:spacing w:line="225" w:lineRule="auto" w:before="0" w:after="0"/>
        <w:ind w:left="120" w:right="226" w:firstLine="15"/>
        <w:jc w:val="left"/>
        <w:rPr>
          <w:sz w:val="20"/>
        </w:rPr>
      </w:pPr>
      <w:r>
        <w:rPr>
          <w:position w:val="1"/>
          <w:sz w:val="20"/>
        </w:rPr>
        <w:t>The</w:t>
      </w:r>
      <w:r>
        <w:rPr>
          <w:spacing w:val="-13"/>
          <w:position w:val="1"/>
          <w:sz w:val="20"/>
        </w:rPr>
        <w:t> </w:t>
      </w:r>
      <w:r>
        <w:rPr>
          <w:position w:val="1"/>
          <w:sz w:val="20"/>
        </w:rPr>
        <w:t>definitions</w:t>
      </w:r>
      <w:r>
        <w:rPr>
          <w:spacing w:val="-13"/>
          <w:position w:val="1"/>
          <w:sz w:val="20"/>
        </w:rPr>
        <w:t> </w:t>
      </w:r>
      <w:r>
        <w:rPr>
          <w:position w:val="1"/>
          <w:sz w:val="20"/>
        </w:rPr>
        <w:t>of</w:t>
      </w:r>
      <w:r>
        <w:rPr>
          <w:spacing w:val="-13"/>
          <w:position w:val="1"/>
          <w:sz w:val="20"/>
        </w:rPr>
        <w:t> </w:t>
      </w:r>
      <w:r>
        <w:rPr>
          <w:position w:val="1"/>
          <w:sz w:val="20"/>
        </w:rPr>
        <w:t>terms</w:t>
      </w:r>
      <w:r>
        <w:rPr>
          <w:spacing w:val="-13"/>
          <w:position w:val="1"/>
          <w:sz w:val="20"/>
        </w:rPr>
        <w:t> </w:t>
      </w:r>
      <w:r>
        <w:rPr>
          <w:position w:val="1"/>
          <w:sz w:val="20"/>
        </w:rPr>
        <w:t>applicable</w:t>
      </w:r>
      <w:r>
        <w:rPr>
          <w:spacing w:val="-13"/>
          <w:position w:val="1"/>
          <w:sz w:val="20"/>
        </w:rPr>
        <w:t> </w:t>
      </w:r>
      <w:r>
        <w:rPr>
          <w:position w:val="1"/>
          <w:sz w:val="20"/>
        </w:rPr>
        <w:t>for</w:t>
      </w:r>
      <w:r>
        <w:rPr>
          <w:spacing w:val="-13"/>
          <w:position w:val="1"/>
          <w:sz w:val="20"/>
        </w:rPr>
        <w:t> </w:t>
      </w:r>
      <w:r>
        <w:rPr>
          <w:position w:val="1"/>
          <w:sz w:val="20"/>
        </w:rPr>
        <w:t>the</w:t>
      </w:r>
      <w:r>
        <w:rPr>
          <w:spacing w:val="-13"/>
          <w:position w:val="1"/>
          <w:sz w:val="20"/>
        </w:rPr>
        <w:t> </w:t>
      </w:r>
      <w:r>
        <w:rPr>
          <w:position w:val="1"/>
          <w:sz w:val="20"/>
        </w:rPr>
        <w:t>purposes</w:t>
      </w:r>
      <w:r>
        <w:rPr>
          <w:spacing w:val="-13"/>
          <w:position w:val="1"/>
          <w:sz w:val="20"/>
        </w:rPr>
        <w:t> </w:t>
      </w:r>
      <w:r>
        <w:rPr>
          <w:position w:val="1"/>
          <w:sz w:val="20"/>
        </w:rPr>
        <w:t>of </w:t>
      </w:r>
      <w:r>
        <w:rPr>
          <w:sz w:val="20"/>
        </w:rPr>
        <w:t>chapter 4 of the Internal Revenue Code that are referenced in these instructions.</w:t>
      </w:r>
    </w:p>
    <w:p>
      <w:pPr>
        <w:pStyle w:val="ListParagraph"/>
        <w:numPr>
          <w:ilvl w:val="0"/>
          <w:numId w:val="1"/>
        </w:numPr>
        <w:tabs>
          <w:tab w:pos="329" w:val="left" w:leader="none"/>
        </w:tabs>
        <w:spacing w:line="243" w:lineRule="exact" w:before="0" w:after="0"/>
        <w:ind w:left="329" w:right="0" w:hanging="194"/>
        <w:jc w:val="left"/>
        <w:rPr>
          <w:position w:val="1"/>
          <w:sz w:val="20"/>
        </w:rPr>
      </w:pPr>
      <w:r>
        <w:rPr>
          <w:spacing w:val="-2"/>
          <w:position w:val="1"/>
          <w:sz w:val="20"/>
        </w:rPr>
        <w:t>Other</w:t>
      </w:r>
      <w:r>
        <w:rPr>
          <w:spacing w:val="-4"/>
          <w:position w:val="1"/>
          <w:sz w:val="20"/>
        </w:rPr>
        <w:t> </w:t>
      </w:r>
      <w:r>
        <w:rPr>
          <w:spacing w:val="-2"/>
          <w:position w:val="1"/>
          <w:sz w:val="20"/>
        </w:rPr>
        <w:t>general</w:t>
      </w:r>
      <w:r>
        <w:rPr>
          <w:spacing w:val="-3"/>
          <w:position w:val="1"/>
          <w:sz w:val="20"/>
        </w:rPr>
        <w:t> </w:t>
      </w:r>
      <w:r>
        <w:rPr>
          <w:spacing w:val="-2"/>
          <w:position w:val="1"/>
          <w:sz w:val="20"/>
        </w:rPr>
        <w:t>topics.</w:t>
      </w:r>
    </w:p>
    <w:p>
      <w:pPr>
        <w:spacing w:line="232" w:lineRule="auto" w:before="139"/>
        <w:ind w:left="119" w:right="38" w:firstLine="240"/>
        <w:jc w:val="left"/>
        <w:rPr>
          <w:sz w:val="20"/>
        </w:rPr>
      </w:pPr>
      <w:r>
        <w:rPr>
          <w:sz w:val="20"/>
        </w:rPr>
        <w:t>You can get the general instructions from </w:t>
      </w:r>
      <w:hyperlink r:id="rId9">
        <w:r>
          <w:rPr>
            <w:rFonts w:ascii="Arial"/>
            <w:i/>
            <w:color w:val="0056A2"/>
            <w:sz w:val="20"/>
            <w:u w:val="single" w:color="0055A1"/>
          </w:rPr>
          <w:t>General</w:t>
        </w:r>
      </w:hyperlink>
      <w:r>
        <w:rPr>
          <w:rFonts w:ascii="Arial"/>
          <w:i/>
          <w:color w:val="0056A2"/>
          <w:sz w:val="20"/>
        </w:rPr>
        <w:t> </w:t>
      </w:r>
      <w:hyperlink r:id="rId9">
        <w:r>
          <w:rPr>
            <w:rFonts w:ascii="Arial"/>
            <w:i/>
            <w:color w:val="0056A2"/>
            <w:sz w:val="20"/>
            <w:u w:val="single" w:color="0055A1"/>
          </w:rPr>
          <w:t>Instructions for Certain Information Returns</w:t>
        </w:r>
      </w:hyperlink>
      <w:r>
        <w:rPr>
          <w:rFonts w:ascii="Arial"/>
          <w:i/>
          <w:color w:val="0056A2"/>
          <w:sz w:val="20"/>
        </w:rPr>
        <w:t> </w:t>
      </w:r>
      <w:r>
        <w:rPr>
          <w:sz w:val="20"/>
        </w:rPr>
        <w:t>at </w:t>
      </w:r>
      <w:hyperlink r:id="rId10">
        <w:r>
          <w:rPr>
            <w:rFonts w:ascii="Arial"/>
            <w:i/>
            <w:color w:val="0056A2"/>
            <w:sz w:val="20"/>
            <w:u w:val="single" w:color="0055A1"/>
          </w:rPr>
          <w:t>IRS.gov/</w:t>
        </w:r>
      </w:hyperlink>
      <w:r>
        <w:rPr>
          <w:rFonts w:ascii="Arial"/>
          <w:i/>
          <w:color w:val="0056A2"/>
          <w:sz w:val="20"/>
        </w:rPr>
        <w:t> </w:t>
      </w:r>
      <w:hyperlink r:id="rId10">
        <w:r>
          <w:rPr>
            <w:rFonts w:ascii="Arial"/>
            <w:i/>
            <w:color w:val="0056A2"/>
            <w:spacing w:val="-2"/>
            <w:sz w:val="20"/>
            <w:u w:val="single" w:color="0055A1"/>
          </w:rPr>
          <w:t>1099GeneralInstructions</w:t>
        </w:r>
      </w:hyperlink>
      <w:r>
        <w:rPr>
          <w:rFonts w:ascii="Arial"/>
          <w:i/>
          <w:color w:val="0056A2"/>
          <w:spacing w:val="-4"/>
          <w:sz w:val="20"/>
        </w:rPr>
        <w:t> </w:t>
      </w:r>
      <w:r>
        <w:rPr>
          <w:spacing w:val="-2"/>
          <w:sz w:val="20"/>
        </w:rPr>
        <w:t>or</w:t>
      </w:r>
      <w:r>
        <w:rPr>
          <w:spacing w:val="-4"/>
          <w:sz w:val="20"/>
        </w:rPr>
        <w:t> </w:t>
      </w:r>
      <w:r>
        <w:rPr>
          <w:spacing w:val="-2"/>
          <w:sz w:val="20"/>
        </w:rPr>
        <w:t>go</w:t>
      </w:r>
      <w:r>
        <w:rPr>
          <w:spacing w:val="-4"/>
          <w:sz w:val="20"/>
        </w:rPr>
        <w:t> </w:t>
      </w:r>
      <w:r>
        <w:rPr>
          <w:spacing w:val="-2"/>
          <w:sz w:val="20"/>
        </w:rPr>
        <w:t>to</w:t>
      </w:r>
      <w:r>
        <w:rPr>
          <w:spacing w:val="-4"/>
          <w:sz w:val="20"/>
        </w:rPr>
        <w:t> </w:t>
      </w:r>
      <w:hyperlink r:id="rId7">
        <w:r>
          <w:rPr>
            <w:rFonts w:ascii="Arial"/>
            <w:i/>
            <w:color w:val="0056A2"/>
            <w:spacing w:val="-2"/>
            <w:sz w:val="20"/>
            <w:u w:val="single" w:color="0055A1"/>
          </w:rPr>
          <w:t>IRS.gov/Form1099DIV</w:t>
        </w:r>
      </w:hyperlink>
      <w:r>
        <w:rPr>
          <w:spacing w:val="-2"/>
          <w:sz w:val="20"/>
        </w:rPr>
        <w:t>.</w:t>
      </w:r>
    </w:p>
    <w:p>
      <w:pPr>
        <w:pStyle w:val="BodyText"/>
        <w:spacing w:line="216" w:lineRule="auto" w:before="86"/>
        <w:ind w:right="428"/>
        <w:jc w:val="both"/>
      </w:pPr>
      <w:r>
        <w:rPr>
          <w:rFonts w:ascii="Arial Black"/>
        </w:rPr>
        <w:t>Continuous-use</w:t>
      </w:r>
      <w:r>
        <w:rPr>
          <w:rFonts w:ascii="Arial Black"/>
          <w:spacing w:val="-17"/>
        </w:rPr>
        <w:t> </w:t>
      </w:r>
      <w:r>
        <w:rPr>
          <w:rFonts w:ascii="Arial Black"/>
        </w:rPr>
        <w:t>form</w:t>
      </w:r>
      <w:r>
        <w:rPr>
          <w:rFonts w:ascii="Arial Black"/>
          <w:spacing w:val="-17"/>
        </w:rPr>
        <w:t> </w:t>
      </w:r>
      <w:r>
        <w:rPr>
          <w:rFonts w:ascii="Arial Black"/>
        </w:rPr>
        <w:t>and</w:t>
      </w:r>
      <w:r>
        <w:rPr>
          <w:rFonts w:ascii="Arial Black"/>
          <w:spacing w:val="-17"/>
        </w:rPr>
        <w:t> </w:t>
      </w:r>
      <w:r>
        <w:rPr>
          <w:rFonts w:ascii="Arial Black"/>
        </w:rPr>
        <w:t>instructions.</w:t>
      </w:r>
      <w:r>
        <w:rPr>
          <w:rFonts w:ascii="Arial Black"/>
          <w:spacing w:val="16"/>
        </w:rPr>
        <w:t> </w:t>
      </w:r>
      <w:r>
        <w:rPr/>
        <w:t>Form </w:t>
      </w:r>
      <w:r>
        <w:rPr>
          <w:spacing w:val="-2"/>
        </w:rPr>
        <w:t>1099-DIV</w:t>
      </w:r>
      <w:r>
        <w:rPr>
          <w:spacing w:val="-3"/>
        </w:rPr>
        <w:t> </w:t>
      </w:r>
      <w:r>
        <w:rPr>
          <w:spacing w:val="-2"/>
        </w:rPr>
        <w:t>and</w:t>
      </w:r>
      <w:r>
        <w:rPr>
          <w:spacing w:val="-3"/>
        </w:rPr>
        <w:t> </w:t>
      </w:r>
      <w:r>
        <w:rPr>
          <w:spacing w:val="-2"/>
        </w:rPr>
        <w:t>these</w:t>
      </w:r>
      <w:r>
        <w:rPr>
          <w:spacing w:val="-3"/>
        </w:rPr>
        <w:t> </w:t>
      </w:r>
      <w:r>
        <w:rPr>
          <w:spacing w:val="-2"/>
        </w:rPr>
        <w:t>instructions</w:t>
      </w:r>
      <w:r>
        <w:rPr>
          <w:spacing w:val="-3"/>
        </w:rPr>
        <w:t> </w:t>
      </w:r>
      <w:r>
        <w:rPr>
          <w:spacing w:val="-2"/>
        </w:rPr>
        <w:t>have</w:t>
      </w:r>
      <w:r>
        <w:rPr>
          <w:spacing w:val="-3"/>
        </w:rPr>
        <w:t> </w:t>
      </w:r>
      <w:r>
        <w:rPr>
          <w:spacing w:val="-2"/>
        </w:rPr>
        <w:t>been</w:t>
      </w:r>
      <w:r>
        <w:rPr>
          <w:spacing w:val="-3"/>
        </w:rPr>
        <w:t> </w:t>
      </w:r>
      <w:r>
        <w:rPr>
          <w:spacing w:val="-2"/>
        </w:rPr>
        <w:t>converted</w:t>
      </w:r>
    </w:p>
    <w:p>
      <w:pPr>
        <w:pStyle w:val="BodyText"/>
        <w:spacing w:line="232" w:lineRule="auto" w:before="4"/>
        <w:ind w:right="184"/>
        <w:jc w:val="both"/>
      </w:pPr>
      <w:r>
        <w:rPr/>
        <w:t>from</w:t>
      </w:r>
      <w:r>
        <w:rPr>
          <w:spacing w:val="-12"/>
        </w:rPr>
        <w:t> </w:t>
      </w:r>
      <w:r>
        <w:rPr/>
        <w:t>an</w:t>
      </w:r>
      <w:r>
        <w:rPr>
          <w:spacing w:val="-12"/>
        </w:rPr>
        <w:t> </w:t>
      </w:r>
      <w:r>
        <w:rPr/>
        <w:t>annual</w:t>
      </w:r>
      <w:r>
        <w:rPr>
          <w:spacing w:val="-12"/>
        </w:rPr>
        <w:t> </w:t>
      </w:r>
      <w:r>
        <w:rPr/>
        <w:t>revision</w:t>
      </w:r>
      <w:r>
        <w:rPr>
          <w:spacing w:val="-12"/>
        </w:rPr>
        <w:t> </w:t>
      </w:r>
      <w:r>
        <w:rPr/>
        <w:t>to</w:t>
      </w:r>
      <w:r>
        <w:rPr>
          <w:spacing w:val="-12"/>
        </w:rPr>
        <w:t> </w:t>
      </w:r>
      <w:r>
        <w:rPr/>
        <w:t>continuous</w:t>
      </w:r>
      <w:r>
        <w:rPr>
          <w:spacing w:val="-12"/>
        </w:rPr>
        <w:t> </w:t>
      </w:r>
      <w:r>
        <w:rPr/>
        <w:t>use.</w:t>
      </w:r>
      <w:r>
        <w:rPr>
          <w:spacing w:val="-12"/>
        </w:rPr>
        <w:t> </w:t>
      </w:r>
      <w:r>
        <w:rPr/>
        <w:t>Both</w:t>
      </w:r>
      <w:r>
        <w:rPr>
          <w:spacing w:val="-12"/>
        </w:rPr>
        <w:t> </w:t>
      </w:r>
      <w:r>
        <w:rPr/>
        <w:t>the</w:t>
      </w:r>
      <w:r>
        <w:rPr>
          <w:spacing w:val="-12"/>
        </w:rPr>
        <w:t> </w:t>
      </w:r>
      <w:r>
        <w:rPr/>
        <w:t>form and</w:t>
      </w:r>
      <w:r>
        <w:rPr>
          <w:spacing w:val="-12"/>
        </w:rPr>
        <w:t> </w:t>
      </w:r>
      <w:r>
        <w:rPr/>
        <w:t>instructions</w:t>
      </w:r>
      <w:r>
        <w:rPr>
          <w:spacing w:val="-12"/>
        </w:rPr>
        <w:t> </w:t>
      </w:r>
      <w:r>
        <w:rPr/>
        <w:t>will</w:t>
      </w:r>
      <w:r>
        <w:rPr>
          <w:spacing w:val="-12"/>
        </w:rPr>
        <w:t> </w:t>
      </w:r>
      <w:r>
        <w:rPr/>
        <w:t>be</w:t>
      </w:r>
      <w:r>
        <w:rPr>
          <w:spacing w:val="-12"/>
        </w:rPr>
        <w:t> </w:t>
      </w:r>
      <w:r>
        <w:rPr/>
        <w:t>updated</w:t>
      </w:r>
      <w:r>
        <w:rPr>
          <w:spacing w:val="-12"/>
        </w:rPr>
        <w:t> </w:t>
      </w:r>
      <w:r>
        <w:rPr/>
        <w:t>as</w:t>
      </w:r>
      <w:r>
        <w:rPr>
          <w:spacing w:val="-12"/>
        </w:rPr>
        <w:t> </w:t>
      </w:r>
      <w:r>
        <w:rPr/>
        <w:t>needed.</w:t>
      </w:r>
      <w:r>
        <w:rPr>
          <w:spacing w:val="-12"/>
        </w:rPr>
        <w:t> </w:t>
      </w:r>
      <w:r>
        <w:rPr/>
        <w:t>For</w:t>
      </w:r>
      <w:r>
        <w:rPr>
          <w:spacing w:val="-12"/>
        </w:rPr>
        <w:t> </w:t>
      </w:r>
      <w:r>
        <w:rPr/>
        <w:t>the</w:t>
      </w:r>
      <w:r>
        <w:rPr>
          <w:spacing w:val="-12"/>
        </w:rPr>
        <w:t> </w:t>
      </w:r>
      <w:r>
        <w:rPr/>
        <w:t>most recent version, go to </w:t>
      </w:r>
      <w:hyperlink r:id="rId11">
        <w:r>
          <w:rPr>
            <w:rFonts w:ascii="Arial"/>
            <w:i/>
            <w:color w:val="0056A2"/>
            <w:u w:val="single" w:color="0055A1"/>
          </w:rPr>
          <w:t>IRS.gov/Form1099DIV</w:t>
        </w:r>
      </w:hyperlink>
      <w:r>
        <w:rPr/>
        <w:t>.</w:t>
      </w:r>
    </w:p>
    <w:p>
      <w:pPr>
        <w:pStyle w:val="BodyText"/>
        <w:spacing w:line="228" w:lineRule="auto" w:before="75"/>
        <w:ind w:right="38"/>
      </w:pPr>
      <w:bookmarkStart w:name="_bookmark0" w:id="7"/>
      <w:bookmarkEnd w:id="7"/>
      <w:r>
        <w:rPr/>
      </w:r>
      <w:r>
        <w:rPr>
          <w:rFonts w:ascii="Arial Black"/>
          <w:spacing w:val="-6"/>
        </w:rPr>
        <w:t>Section</w:t>
      </w:r>
      <w:r>
        <w:rPr>
          <w:rFonts w:ascii="Arial Black"/>
          <w:spacing w:val="-15"/>
        </w:rPr>
        <w:t> </w:t>
      </w:r>
      <w:r>
        <w:rPr>
          <w:rFonts w:ascii="Arial Black"/>
          <w:spacing w:val="-6"/>
        </w:rPr>
        <w:t>897</w:t>
      </w:r>
      <w:r>
        <w:rPr>
          <w:rFonts w:ascii="Arial Black"/>
          <w:spacing w:val="-13"/>
        </w:rPr>
        <w:t> </w:t>
      </w:r>
      <w:r>
        <w:rPr>
          <w:rFonts w:ascii="Arial Black"/>
          <w:spacing w:val="-6"/>
        </w:rPr>
        <w:t>gain.</w:t>
      </w:r>
      <w:r>
        <w:rPr>
          <w:rFonts w:ascii="Arial Black"/>
          <w:spacing w:val="-3"/>
        </w:rPr>
        <w:t> </w:t>
      </w:r>
      <w:r>
        <w:rPr>
          <w:spacing w:val="-6"/>
        </w:rPr>
        <w:t>RICs</w:t>
      </w:r>
      <w:r>
        <w:rPr>
          <w:spacing w:val="-8"/>
        </w:rPr>
        <w:t> </w:t>
      </w:r>
      <w:r>
        <w:rPr>
          <w:spacing w:val="-6"/>
        </w:rPr>
        <w:t>and</w:t>
      </w:r>
      <w:r>
        <w:rPr>
          <w:spacing w:val="-8"/>
        </w:rPr>
        <w:t> </w:t>
      </w:r>
      <w:r>
        <w:rPr>
          <w:spacing w:val="-6"/>
        </w:rPr>
        <w:t>REITs</w:t>
      </w:r>
      <w:r>
        <w:rPr>
          <w:spacing w:val="-8"/>
        </w:rPr>
        <w:t> </w:t>
      </w:r>
      <w:r>
        <w:rPr>
          <w:spacing w:val="-6"/>
        </w:rPr>
        <w:t>should</w:t>
      </w:r>
      <w:r>
        <w:rPr>
          <w:spacing w:val="-8"/>
        </w:rPr>
        <w:t> </w:t>
      </w:r>
      <w:r>
        <w:rPr>
          <w:spacing w:val="-6"/>
        </w:rPr>
        <w:t>report</w:t>
      </w:r>
      <w:r>
        <w:rPr>
          <w:spacing w:val="-7"/>
        </w:rPr>
        <w:t> </w:t>
      </w:r>
      <w:r>
        <w:rPr>
          <w:spacing w:val="-6"/>
        </w:rPr>
        <w:t>any </w:t>
      </w:r>
      <w:r>
        <w:rPr/>
        <w:t>section 897 gains on the sale of U.S. real property interests (USRPI) in </w:t>
      </w:r>
      <w:hyperlink w:history="true" w:anchor="_bookmark12">
        <w:r>
          <w:rPr>
            <w:color w:val="0056A2"/>
            <w:u w:val="single" w:color="0055A1"/>
          </w:rPr>
          <w:t>box 2e</w:t>
        </w:r>
      </w:hyperlink>
      <w:r>
        <w:rPr>
          <w:color w:val="0056A2"/>
        </w:rPr>
        <w:t> </w:t>
      </w:r>
      <w:r>
        <w:rPr/>
        <w:t>and </w:t>
      </w:r>
      <w:hyperlink w:history="true" w:anchor="_bookmark13">
        <w:r>
          <w:rPr>
            <w:color w:val="0056A2"/>
            <w:u w:val="single" w:color="0055A1"/>
          </w:rPr>
          <w:t>box 2f</w:t>
        </w:r>
      </w:hyperlink>
      <w:r>
        <w:rPr/>
        <w:t>. For further information, see </w:t>
      </w:r>
      <w:hyperlink w:history="true" w:anchor="_bookmark5">
        <w:r>
          <w:rPr>
            <w:rFonts w:ascii="Arial"/>
            <w:i/>
            <w:color w:val="0056A2"/>
            <w:u w:val="single" w:color="0055A1"/>
          </w:rPr>
          <w:t>Section 897 gain</w:t>
        </w:r>
      </w:hyperlink>
      <w:r>
        <w:rPr/>
        <w:t>, later.</w:t>
      </w:r>
    </w:p>
    <w:p>
      <w:pPr>
        <w:pStyle w:val="BodyText"/>
        <w:spacing w:line="228" w:lineRule="auto" w:before="73"/>
        <w:ind w:left="119" w:right="38"/>
      </w:pPr>
      <w:r>
        <w:rPr>
          <w:rFonts w:ascii="Arial Black"/>
          <w:w w:val="90"/>
        </w:rPr>
        <w:t>Online</w:t>
      </w:r>
      <w:r>
        <w:rPr>
          <w:rFonts w:ascii="Arial Black"/>
          <w:spacing w:val="-4"/>
          <w:w w:val="90"/>
        </w:rPr>
        <w:t> </w:t>
      </w:r>
      <w:r>
        <w:rPr>
          <w:rFonts w:ascii="Arial Black"/>
          <w:w w:val="90"/>
        </w:rPr>
        <w:t>fillable</w:t>
      </w:r>
      <w:r>
        <w:rPr>
          <w:rFonts w:ascii="Arial Black"/>
          <w:spacing w:val="-4"/>
          <w:w w:val="90"/>
        </w:rPr>
        <w:t> </w:t>
      </w:r>
      <w:r>
        <w:rPr>
          <w:rFonts w:ascii="Arial Black"/>
          <w:w w:val="90"/>
        </w:rPr>
        <w:t>Copies</w:t>
      </w:r>
      <w:r>
        <w:rPr>
          <w:rFonts w:ascii="Arial Black"/>
          <w:spacing w:val="-4"/>
          <w:w w:val="90"/>
        </w:rPr>
        <w:t> </w:t>
      </w:r>
      <w:r>
        <w:rPr>
          <w:rFonts w:ascii="Arial Black"/>
          <w:w w:val="90"/>
        </w:rPr>
        <w:t>1,</w:t>
      </w:r>
      <w:r>
        <w:rPr>
          <w:rFonts w:ascii="Arial Black"/>
          <w:spacing w:val="-4"/>
          <w:w w:val="90"/>
        </w:rPr>
        <w:t> </w:t>
      </w:r>
      <w:r>
        <w:rPr>
          <w:rFonts w:ascii="Arial Black"/>
          <w:w w:val="90"/>
        </w:rPr>
        <w:t>B,</w:t>
      </w:r>
      <w:r>
        <w:rPr>
          <w:rFonts w:ascii="Arial Black"/>
          <w:spacing w:val="-4"/>
          <w:w w:val="90"/>
        </w:rPr>
        <w:t> </w:t>
      </w:r>
      <w:r>
        <w:rPr>
          <w:rFonts w:ascii="Arial Black"/>
          <w:w w:val="90"/>
        </w:rPr>
        <w:t>and</w:t>
      </w:r>
      <w:r>
        <w:rPr>
          <w:rFonts w:ascii="Arial Black"/>
          <w:spacing w:val="-4"/>
          <w:w w:val="90"/>
        </w:rPr>
        <w:t> </w:t>
      </w:r>
      <w:r>
        <w:rPr>
          <w:rFonts w:ascii="Arial Black"/>
          <w:w w:val="90"/>
        </w:rPr>
        <w:t>2.</w:t>
      </w:r>
      <w:r>
        <w:rPr>
          <w:rFonts w:ascii="Arial Black"/>
          <w:spacing w:val="80"/>
        </w:rPr>
        <w:t> </w:t>
      </w:r>
      <w:r>
        <w:rPr>
          <w:w w:val="90"/>
        </w:rPr>
        <w:t>To ease statement </w:t>
      </w:r>
      <w:r>
        <w:rPr/>
        <w:t>furnishing requirements, Copies 1, B, and 2 are fillable online in a PDF format, available at </w:t>
      </w:r>
      <w:hyperlink r:id="rId7">
        <w:r>
          <w:rPr>
            <w:rFonts w:ascii="Arial"/>
            <w:i/>
            <w:color w:val="0056A2"/>
            <w:u w:val="single" w:color="0055A1"/>
          </w:rPr>
          <w:t>IRS.gov/</w:t>
        </w:r>
      </w:hyperlink>
      <w:r>
        <w:rPr>
          <w:rFonts w:ascii="Arial"/>
          <w:i/>
          <w:color w:val="0056A2"/>
        </w:rPr>
        <w:t> </w:t>
      </w:r>
      <w:hyperlink r:id="rId7">
        <w:r>
          <w:rPr>
            <w:rFonts w:ascii="Arial"/>
            <w:i/>
            <w:color w:val="0056A2"/>
            <w:spacing w:val="-2"/>
            <w:u w:val="single" w:color="0055A1"/>
          </w:rPr>
          <w:t>Form1099DIV</w:t>
        </w:r>
      </w:hyperlink>
      <w:r>
        <w:rPr>
          <w:spacing w:val="-2"/>
        </w:rPr>
        <w:t>.</w:t>
      </w:r>
      <w:r>
        <w:rPr>
          <w:spacing w:val="-6"/>
        </w:rPr>
        <w:t> </w:t>
      </w:r>
      <w:r>
        <w:rPr>
          <w:spacing w:val="-2"/>
        </w:rPr>
        <w:t>You</w:t>
      </w:r>
      <w:r>
        <w:rPr>
          <w:spacing w:val="-6"/>
        </w:rPr>
        <w:t> </w:t>
      </w:r>
      <w:r>
        <w:rPr>
          <w:spacing w:val="-2"/>
        </w:rPr>
        <w:t>can</w:t>
      </w:r>
      <w:r>
        <w:rPr>
          <w:spacing w:val="-6"/>
        </w:rPr>
        <w:t> </w:t>
      </w:r>
      <w:r>
        <w:rPr>
          <w:spacing w:val="-2"/>
        </w:rPr>
        <w:t>complete</w:t>
      </w:r>
      <w:r>
        <w:rPr>
          <w:spacing w:val="-6"/>
        </w:rPr>
        <w:t> </w:t>
      </w:r>
      <w:r>
        <w:rPr>
          <w:spacing w:val="-2"/>
        </w:rPr>
        <w:t>these</w:t>
      </w:r>
      <w:r>
        <w:rPr>
          <w:spacing w:val="-6"/>
        </w:rPr>
        <w:t> </w:t>
      </w:r>
      <w:r>
        <w:rPr>
          <w:spacing w:val="-2"/>
        </w:rPr>
        <w:t>copies</w:t>
      </w:r>
      <w:r>
        <w:rPr>
          <w:spacing w:val="-6"/>
        </w:rPr>
        <w:t> </w:t>
      </w:r>
      <w:r>
        <w:rPr>
          <w:spacing w:val="-2"/>
        </w:rPr>
        <w:t>online</w:t>
      </w:r>
      <w:r>
        <w:rPr>
          <w:spacing w:val="-6"/>
        </w:rPr>
        <w:t> </w:t>
      </w:r>
      <w:r>
        <w:rPr>
          <w:spacing w:val="-2"/>
        </w:rPr>
        <w:t>for</w:t>
      </w:r>
    </w:p>
    <w:p>
      <w:pPr>
        <w:spacing w:line="240" w:lineRule="auto" w:before="4"/>
        <w:rPr>
          <w:sz w:val="20"/>
        </w:rPr>
      </w:pPr>
      <w:r>
        <w:rPr/>
        <w:br w:type="column"/>
      </w:r>
      <w:r>
        <w:rPr>
          <w:sz w:val="20"/>
        </w:rPr>
      </w:r>
    </w:p>
    <w:p>
      <w:pPr>
        <w:pStyle w:val="BodyText"/>
        <w:spacing w:line="219" w:lineRule="exact"/>
        <w:ind w:left="2710"/>
      </w:pPr>
      <w:r>
        <w:rPr/>
        <w:t>Department</w:t>
      </w:r>
      <w:r>
        <w:rPr>
          <w:spacing w:val="-12"/>
        </w:rPr>
        <w:t> </w:t>
      </w:r>
      <w:r>
        <w:rPr/>
        <w:t>of</w:t>
      </w:r>
      <w:r>
        <w:rPr>
          <w:spacing w:val="-11"/>
        </w:rPr>
        <w:t> </w:t>
      </w:r>
      <w:r>
        <w:rPr/>
        <w:t>the</w:t>
      </w:r>
      <w:r>
        <w:rPr>
          <w:spacing w:val="-11"/>
        </w:rPr>
        <w:t> </w:t>
      </w:r>
      <w:r>
        <w:rPr>
          <w:spacing w:val="-2"/>
        </w:rPr>
        <w:t>Treasury</w:t>
      </w:r>
    </w:p>
    <w:p>
      <w:pPr>
        <w:pStyle w:val="BodyText"/>
        <w:spacing w:line="271" w:lineRule="exact"/>
        <w:ind w:left="2710"/>
        <w:rPr>
          <w:rFonts w:ascii="Arial Black"/>
        </w:rPr>
      </w:pPr>
      <w:r>
        <w:rPr>
          <w:rFonts w:ascii="Arial Black"/>
        </w:rPr>
        <mc:AlternateContent>
          <mc:Choice Requires="wps">
            <w:drawing>
              <wp:anchor distT="0" distB="0" distL="0" distR="0" allowOverlap="1" layoutInCell="1" locked="0" behindDoc="0" simplePos="0" relativeHeight="15729152">
                <wp:simplePos x="0" y="0"/>
                <wp:positionH relativeFrom="page">
                  <wp:posOffset>5103261</wp:posOffset>
                </wp:positionH>
                <wp:positionV relativeFrom="paragraph">
                  <wp:posOffset>-186695</wp:posOffset>
                </wp:positionV>
                <wp:extent cx="498475" cy="44132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498475" cy="441325"/>
                          <a:chExt cx="498475" cy="441325"/>
                        </a:xfrm>
                      </wpg:grpSpPr>
                      <wps:wsp>
                        <wps:cNvPr id="7" name="Graphic 7"/>
                        <wps:cNvSpPr/>
                        <wps:spPr>
                          <a:xfrm>
                            <a:off x="290402" y="4684"/>
                            <a:ext cx="208279" cy="420370"/>
                          </a:xfrm>
                          <a:custGeom>
                            <a:avLst/>
                            <a:gdLst/>
                            <a:ahLst/>
                            <a:cxnLst/>
                            <a:rect l="l" t="t" r="r" b="b"/>
                            <a:pathLst>
                              <a:path w="208279" h="420370">
                                <a:moveTo>
                                  <a:pt x="207873" y="220662"/>
                                </a:moveTo>
                                <a:lnTo>
                                  <a:pt x="204368" y="153936"/>
                                </a:lnTo>
                                <a:lnTo>
                                  <a:pt x="197929" y="98971"/>
                                </a:lnTo>
                                <a:lnTo>
                                  <a:pt x="185216" y="53555"/>
                                </a:lnTo>
                                <a:lnTo>
                                  <a:pt x="140157" y="29616"/>
                                </a:lnTo>
                                <a:lnTo>
                                  <a:pt x="94107" y="14274"/>
                                </a:lnTo>
                                <a:lnTo>
                                  <a:pt x="35814" y="38"/>
                                </a:lnTo>
                                <a:lnTo>
                                  <a:pt x="15608" y="23952"/>
                                </a:lnTo>
                                <a:lnTo>
                                  <a:pt x="5130" y="40767"/>
                                </a:lnTo>
                                <a:lnTo>
                                  <a:pt x="1041" y="51739"/>
                                </a:lnTo>
                                <a:lnTo>
                                  <a:pt x="0" y="58153"/>
                                </a:lnTo>
                                <a:lnTo>
                                  <a:pt x="1625" y="64528"/>
                                </a:lnTo>
                                <a:lnTo>
                                  <a:pt x="7035" y="73558"/>
                                </a:lnTo>
                                <a:lnTo>
                                  <a:pt x="14973" y="84429"/>
                                </a:lnTo>
                                <a:lnTo>
                                  <a:pt x="24180" y="96316"/>
                                </a:lnTo>
                                <a:lnTo>
                                  <a:pt x="48107" y="126403"/>
                                </a:lnTo>
                                <a:lnTo>
                                  <a:pt x="53835" y="134239"/>
                                </a:lnTo>
                                <a:lnTo>
                                  <a:pt x="57200" y="140779"/>
                                </a:lnTo>
                                <a:lnTo>
                                  <a:pt x="59207" y="157200"/>
                                </a:lnTo>
                                <a:lnTo>
                                  <a:pt x="56464" y="179336"/>
                                </a:lnTo>
                                <a:lnTo>
                                  <a:pt x="50927" y="204927"/>
                                </a:lnTo>
                                <a:lnTo>
                                  <a:pt x="44538" y="231686"/>
                                </a:lnTo>
                                <a:lnTo>
                                  <a:pt x="55372" y="291604"/>
                                </a:lnTo>
                                <a:lnTo>
                                  <a:pt x="65811" y="262978"/>
                                </a:lnTo>
                                <a:lnTo>
                                  <a:pt x="76352" y="225094"/>
                                </a:lnTo>
                                <a:lnTo>
                                  <a:pt x="84709" y="188683"/>
                                </a:lnTo>
                                <a:lnTo>
                                  <a:pt x="88544" y="164465"/>
                                </a:lnTo>
                                <a:lnTo>
                                  <a:pt x="109016" y="170827"/>
                                </a:lnTo>
                                <a:lnTo>
                                  <a:pt x="114465" y="161467"/>
                                </a:lnTo>
                                <a:lnTo>
                                  <a:pt x="120319" y="147650"/>
                                </a:lnTo>
                                <a:lnTo>
                                  <a:pt x="124282" y="134467"/>
                                </a:lnTo>
                                <a:lnTo>
                                  <a:pt x="130556" y="136296"/>
                                </a:lnTo>
                                <a:lnTo>
                                  <a:pt x="136093" y="139115"/>
                                </a:lnTo>
                                <a:lnTo>
                                  <a:pt x="136829" y="145376"/>
                                </a:lnTo>
                                <a:lnTo>
                                  <a:pt x="138531" y="163449"/>
                                </a:lnTo>
                                <a:lnTo>
                                  <a:pt x="138569" y="178892"/>
                                </a:lnTo>
                                <a:lnTo>
                                  <a:pt x="137261" y="198920"/>
                                </a:lnTo>
                                <a:lnTo>
                                  <a:pt x="133286" y="246456"/>
                                </a:lnTo>
                                <a:lnTo>
                                  <a:pt x="126111" y="291058"/>
                                </a:lnTo>
                                <a:lnTo>
                                  <a:pt x="113207" y="359168"/>
                                </a:lnTo>
                                <a:lnTo>
                                  <a:pt x="101092" y="408698"/>
                                </a:lnTo>
                                <a:lnTo>
                                  <a:pt x="99250" y="419773"/>
                                </a:lnTo>
                                <a:lnTo>
                                  <a:pt x="133667" y="400532"/>
                                </a:lnTo>
                                <a:lnTo>
                                  <a:pt x="146659" y="358470"/>
                                </a:lnTo>
                                <a:lnTo>
                                  <a:pt x="156514" y="311086"/>
                                </a:lnTo>
                                <a:lnTo>
                                  <a:pt x="161251" y="280733"/>
                                </a:lnTo>
                                <a:lnTo>
                                  <a:pt x="163664" y="265315"/>
                                </a:lnTo>
                                <a:lnTo>
                                  <a:pt x="166382" y="244779"/>
                                </a:lnTo>
                                <a:lnTo>
                                  <a:pt x="168008" y="224396"/>
                                </a:lnTo>
                                <a:lnTo>
                                  <a:pt x="168821" y="204724"/>
                                </a:lnTo>
                                <a:lnTo>
                                  <a:pt x="169125" y="178892"/>
                                </a:lnTo>
                                <a:lnTo>
                                  <a:pt x="169227" y="170827"/>
                                </a:lnTo>
                                <a:lnTo>
                                  <a:pt x="169291" y="166065"/>
                                </a:lnTo>
                                <a:lnTo>
                                  <a:pt x="167894" y="154279"/>
                                </a:lnTo>
                                <a:lnTo>
                                  <a:pt x="161709" y="146456"/>
                                </a:lnTo>
                                <a:lnTo>
                                  <a:pt x="147561" y="138112"/>
                                </a:lnTo>
                                <a:lnTo>
                                  <a:pt x="148564" y="134467"/>
                                </a:lnTo>
                                <a:lnTo>
                                  <a:pt x="152869" y="118872"/>
                                </a:lnTo>
                                <a:lnTo>
                                  <a:pt x="154012" y="109943"/>
                                </a:lnTo>
                                <a:lnTo>
                                  <a:pt x="154686" y="104622"/>
                                </a:lnTo>
                                <a:lnTo>
                                  <a:pt x="154724" y="100850"/>
                                </a:lnTo>
                                <a:lnTo>
                                  <a:pt x="154508" y="93357"/>
                                </a:lnTo>
                                <a:lnTo>
                                  <a:pt x="134594" y="77190"/>
                                </a:lnTo>
                                <a:lnTo>
                                  <a:pt x="119900" y="78130"/>
                                </a:lnTo>
                                <a:lnTo>
                                  <a:pt x="120865" y="78130"/>
                                </a:lnTo>
                                <a:lnTo>
                                  <a:pt x="125107" y="84899"/>
                                </a:lnTo>
                                <a:lnTo>
                                  <a:pt x="126314" y="92646"/>
                                </a:lnTo>
                                <a:lnTo>
                                  <a:pt x="126428" y="93357"/>
                                </a:lnTo>
                                <a:lnTo>
                                  <a:pt x="125958" y="100850"/>
                                </a:lnTo>
                                <a:lnTo>
                                  <a:pt x="125882" y="102158"/>
                                </a:lnTo>
                                <a:lnTo>
                                  <a:pt x="124523" y="109943"/>
                                </a:lnTo>
                                <a:lnTo>
                                  <a:pt x="121843" y="106870"/>
                                </a:lnTo>
                                <a:lnTo>
                                  <a:pt x="118516" y="103746"/>
                                </a:lnTo>
                                <a:lnTo>
                                  <a:pt x="111379" y="101384"/>
                                </a:lnTo>
                                <a:lnTo>
                                  <a:pt x="97586" y="100850"/>
                                </a:lnTo>
                                <a:lnTo>
                                  <a:pt x="96291" y="91440"/>
                                </a:lnTo>
                                <a:lnTo>
                                  <a:pt x="96291" y="117843"/>
                                </a:lnTo>
                                <a:lnTo>
                                  <a:pt x="94068" y="131381"/>
                                </a:lnTo>
                                <a:lnTo>
                                  <a:pt x="90512" y="142811"/>
                                </a:lnTo>
                                <a:lnTo>
                                  <a:pt x="86029" y="132930"/>
                                </a:lnTo>
                                <a:lnTo>
                                  <a:pt x="81419" y="124320"/>
                                </a:lnTo>
                                <a:lnTo>
                                  <a:pt x="75971" y="115900"/>
                                </a:lnTo>
                                <a:lnTo>
                                  <a:pt x="66192" y="103022"/>
                                </a:lnTo>
                                <a:lnTo>
                                  <a:pt x="68961" y="106438"/>
                                </a:lnTo>
                                <a:lnTo>
                                  <a:pt x="75222" y="104622"/>
                                </a:lnTo>
                                <a:lnTo>
                                  <a:pt x="79768" y="104622"/>
                                </a:lnTo>
                                <a:lnTo>
                                  <a:pt x="85979" y="103746"/>
                                </a:lnTo>
                                <a:lnTo>
                                  <a:pt x="94488" y="107048"/>
                                </a:lnTo>
                                <a:lnTo>
                                  <a:pt x="96291" y="117843"/>
                                </a:lnTo>
                                <a:lnTo>
                                  <a:pt x="96291" y="91440"/>
                                </a:lnTo>
                                <a:lnTo>
                                  <a:pt x="94462" y="78130"/>
                                </a:lnTo>
                                <a:lnTo>
                                  <a:pt x="94386" y="77571"/>
                                </a:lnTo>
                                <a:lnTo>
                                  <a:pt x="90728" y="64350"/>
                                </a:lnTo>
                                <a:lnTo>
                                  <a:pt x="87579" y="58254"/>
                                </a:lnTo>
                                <a:lnTo>
                                  <a:pt x="85877" y="56324"/>
                                </a:lnTo>
                                <a:lnTo>
                                  <a:pt x="80619" y="54076"/>
                                </a:lnTo>
                                <a:lnTo>
                                  <a:pt x="72059" y="53708"/>
                                </a:lnTo>
                                <a:lnTo>
                                  <a:pt x="63004" y="54635"/>
                                </a:lnTo>
                                <a:lnTo>
                                  <a:pt x="56070" y="56324"/>
                                </a:lnTo>
                                <a:lnTo>
                                  <a:pt x="56324" y="56324"/>
                                </a:lnTo>
                                <a:lnTo>
                                  <a:pt x="60198" y="62865"/>
                                </a:lnTo>
                                <a:lnTo>
                                  <a:pt x="64109" y="75590"/>
                                </a:lnTo>
                                <a:lnTo>
                                  <a:pt x="66344" y="90030"/>
                                </a:lnTo>
                                <a:lnTo>
                                  <a:pt x="65265" y="100850"/>
                                </a:lnTo>
                                <a:lnTo>
                                  <a:pt x="65176" y="101701"/>
                                </a:lnTo>
                                <a:lnTo>
                                  <a:pt x="46202" y="78587"/>
                                </a:lnTo>
                                <a:lnTo>
                                  <a:pt x="35013" y="62890"/>
                                </a:lnTo>
                                <a:lnTo>
                                  <a:pt x="31216" y="52641"/>
                                </a:lnTo>
                                <a:lnTo>
                                  <a:pt x="32651" y="49174"/>
                                </a:lnTo>
                                <a:lnTo>
                                  <a:pt x="35102" y="44767"/>
                                </a:lnTo>
                                <a:lnTo>
                                  <a:pt x="39420" y="38620"/>
                                </a:lnTo>
                                <a:lnTo>
                                  <a:pt x="46355" y="29984"/>
                                </a:lnTo>
                                <a:lnTo>
                                  <a:pt x="43472" y="21818"/>
                                </a:lnTo>
                                <a:lnTo>
                                  <a:pt x="46393" y="29984"/>
                                </a:lnTo>
                                <a:lnTo>
                                  <a:pt x="80492" y="38277"/>
                                </a:lnTo>
                                <a:lnTo>
                                  <a:pt x="116547" y="49974"/>
                                </a:lnTo>
                                <a:lnTo>
                                  <a:pt x="159207" y="69964"/>
                                </a:lnTo>
                                <a:lnTo>
                                  <a:pt x="173050" y="127152"/>
                                </a:lnTo>
                                <a:lnTo>
                                  <a:pt x="177863" y="206502"/>
                                </a:lnTo>
                                <a:lnTo>
                                  <a:pt x="177012" y="262585"/>
                                </a:lnTo>
                                <a:lnTo>
                                  <a:pt x="173240" y="318897"/>
                                </a:lnTo>
                                <a:lnTo>
                                  <a:pt x="168414" y="360197"/>
                                </a:lnTo>
                                <a:lnTo>
                                  <a:pt x="164312" y="385178"/>
                                </a:lnTo>
                                <a:lnTo>
                                  <a:pt x="162725" y="392518"/>
                                </a:lnTo>
                                <a:lnTo>
                                  <a:pt x="173291" y="387197"/>
                                </a:lnTo>
                                <a:lnTo>
                                  <a:pt x="201333" y="348754"/>
                                </a:lnTo>
                                <a:lnTo>
                                  <a:pt x="206044" y="290474"/>
                                </a:lnTo>
                                <a:lnTo>
                                  <a:pt x="207606" y="256235"/>
                                </a:lnTo>
                                <a:lnTo>
                                  <a:pt x="207873" y="220662"/>
                                </a:lnTo>
                                <a:close/>
                              </a:path>
                            </a:pathLst>
                          </a:custGeom>
                          <a:solidFill>
                            <a:srgbClr val="000000"/>
                          </a:solidFill>
                        </wps:spPr>
                        <wps:bodyPr wrap="square" lIns="0" tIns="0" rIns="0" bIns="0" rtlCol="0">
                          <a:prstTxWarp prst="textNoShape">
                            <a:avLst/>
                          </a:prstTxWarp>
                          <a:noAutofit/>
                        </wps:bodyPr>
                      </wps:wsp>
                      <pic:pic>
                        <pic:nvPicPr>
                          <pic:cNvPr id="8" name="Image 8"/>
                          <pic:cNvPicPr/>
                        </pic:nvPicPr>
                        <pic:blipFill>
                          <a:blip r:embed="rId12" cstate="print"/>
                          <a:stretch>
                            <a:fillRect/>
                          </a:stretch>
                        </pic:blipFill>
                        <pic:spPr>
                          <a:xfrm>
                            <a:off x="99800" y="102588"/>
                            <a:ext cx="316773" cy="338169"/>
                          </a:xfrm>
                          <a:prstGeom prst="rect">
                            <a:avLst/>
                          </a:prstGeom>
                        </pic:spPr>
                      </pic:pic>
                      <wps:wsp>
                        <wps:cNvPr id="9" name="Graphic 9"/>
                        <wps:cNvSpPr/>
                        <wps:spPr>
                          <a:xfrm>
                            <a:off x="0" y="0"/>
                            <a:ext cx="271780" cy="414655"/>
                          </a:xfrm>
                          <a:custGeom>
                            <a:avLst/>
                            <a:gdLst/>
                            <a:ahLst/>
                            <a:cxnLst/>
                            <a:rect l="l" t="t" r="r" b="b"/>
                            <a:pathLst>
                              <a:path w="271780" h="414655">
                                <a:moveTo>
                                  <a:pt x="61" y="268174"/>
                                </a:moveTo>
                                <a:lnTo>
                                  <a:pt x="2489" y="311825"/>
                                </a:lnTo>
                                <a:lnTo>
                                  <a:pt x="8967" y="350759"/>
                                </a:lnTo>
                                <a:lnTo>
                                  <a:pt x="39977" y="388653"/>
                                </a:lnTo>
                                <a:lnTo>
                                  <a:pt x="81794" y="409154"/>
                                </a:lnTo>
                                <a:lnTo>
                                  <a:pt x="94982" y="414464"/>
                                </a:lnTo>
                                <a:lnTo>
                                  <a:pt x="93256" y="405378"/>
                                </a:lnTo>
                                <a:lnTo>
                                  <a:pt x="84505" y="380883"/>
                                </a:lnTo>
                                <a:lnTo>
                                  <a:pt x="80146" y="369068"/>
                                </a:lnTo>
                                <a:lnTo>
                                  <a:pt x="75333" y="356311"/>
                                </a:lnTo>
                                <a:lnTo>
                                  <a:pt x="84523" y="346697"/>
                                </a:lnTo>
                                <a:lnTo>
                                  <a:pt x="97281" y="332337"/>
                                </a:lnTo>
                                <a:lnTo>
                                  <a:pt x="99797" y="329052"/>
                                </a:lnTo>
                                <a:lnTo>
                                  <a:pt x="60055" y="329052"/>
                                </a:lnTo>
                                <a:lnTo>
                                  <a:pt x="58310" y="326541"/>
                                </a:lnTo>
                                <a:lnTo>
                                  <a:pt x="25818" y="288222"/>
                                </a:lnTo>
                                <a:lnTo>
                                  <a:pt x="4057" y="270995"/>
                                </a:lnTo>
                                <a:lnTo>
                                  <a:pt x="61" y="268174"/>
                                </a:lnTo>
                                <a:close/>
                              </a:path>
                              <a:path w="271780" h="414655">
                                <a:moveTo>
                                  <a:pt x="1969" y="135524"/>
                                </a:moveTo>
                                <a:lnTo>
                                  <a:pt x="545" y="171916"/>
                                </a:lnTo>
                                <a:lnTo>
                                  <a:pt x="422" y="175070"/>
                                </a:lnTo>
                                <a:lnTo>
                                  <a:pt x="298" y="178224"/>
                                </a:lnTo>
                                <a:lnTo>
                                  <a:pt x="5600" y="219586"/>
                                </a:lnTo>
                                <a:lnTo>
                                  <a:pt x="48955" y="267090"/>
                                </a:lnTo>
                                <a:lnTo>
                                  <a:pt x="58203" y="278955"/>
                                </a:lnTo>
                                <a:lnTo>
                                  <a:pt x="58302" y="279083"/>
                                </a:lnTo>
                                <a:lnTo>
                                  <a:pt x="61843" y="286356"/>
                                </a:lnTo>
                                <a:lnTo>
                                  <a:pt x="62794" y="289080"/>
                                </a:lnTo>
                                <a:lnTo>
                                  <a:pt x="62261" y="292234"/>
                                </a:lnTo>
                                <a:lnTo>
                                  <a:pt x="60039" y="297414"/>
                                </a:lnTo>
                                <a:lnTo>
                                  <a:pt x="57844" y="304332"/>
                                </a:lnTo>
                                <a:lnTo>
                                  <a:pt x="57524" y="310270"/>
                                </a:lnTo>
                                <a:lnTo>
                                  <a:pt x="57441" y="311825"/>
                                </a:lnTo>
                                <a:lnTo>
                                  <a:pt x="57394" y="312698"/>
                                </a:lnTo>
                                <a:lnTo>
                                  <a:pt x="57786" y="316561"/>
                                </a:lnTo>
                                <a:lnTo>
                                  <a:pt x="57846" y="317152"/>
                                </a:lnTo>
                                <a:lnTo>
                                  <a:pt x="59118" y="322694"/>
                                </a:lnTo>
                                <a:lnTo>
                                  <a:pt x="60055" y="329052"/>
                                </a:lnTo>
                                <a:lnTo>
                                  <a:pt x="99797" y="329052"/>
                                </a:lnTo>
                                <a:lnTo>
                                  <a:pt x="109367" y="316561"/>
                                </a:lnTo>
                                <a:lnTo>
                                  <a:pt x="116544" y="302701"/>
                                </a:lnTo>
                                <a:lnTo>
                                  <a:pt x="120338" y="284467"/>
                                </a:lnTo>
                                <a:lnTo>
                                  <a:pt x="120838" y="280895"/>
                                </a:lnTo>
                                <a:lnTo>
                                  <a:pt x="68168" y="280895"/>
                                </a:lnTo>
                                <a:lnTo>
                                  <a:pt x="67500" y="270995"/>
                                </a:lnTo>
                                <a:lnTo>
                                  <a:pt x="87462" y="221735"/>
                                </a:lnTo>
                                <a:lnTo>
                                  <a:pt x="98642" y="210028"/>
                                </a:lnTo>
                                <a:lnTo>
                                  <a:pt x="60146" y="210028"/>
                                </a:lnTo>
                                <a:lnTo>
                                  <a:pt x="30219" y="166340"/>
                                </a:lnTo>
                                <a:lnTo>
                                  <a:pt x="6363" y="140118"/>
                                </a:lnTo>
                                <a:lnTo>
                                  <a:pt x="1969" y="135524"/>
                                </a:lnTo>
                                <a:close/>
                              </a:path>
                              <a:path w="271780" h="414655">
                                <a:moveTo>
                                  <a:pt x="126371" y="228198"/>
                                </a:moveTo>
                                <a:lnTo>
                                  <a:pt x="83380" y="262725"/>
                                </a:lnTo>
                                <a:lnTo>
                                  <a:pt x="68168" y="280895"/>
                                </a:lnTo>
                                <a:lnTo>
                                  <a:pt x="120838" y="280895"/>
                                </a:lnTo>
                                <a:lnTo>
                                  <a:pt x="123384" y="262725"/>
                                </a:lnTo>
                                <a:lnTo>
                                  <a:pt x="123461" y="262179"/>
                                </a:lnTo>
                                <a:lnTo>
                                  <a:pt x="125582" y="241527"/>
                                </a:lnTo>
                                <a:lnTo>
                                  <a:pt x="126371" y="228198"/>
                                </a:lnTo>
                                <a:close/>
                              </a:path>
                              <a:path w="271780" h="414655">
                                <a:moveTo>
                                  <a:pt x="66480" y="41939"/>
                                </a:moveTo>
                                <a:lnTo>
                                  <a:pt x="38273" y="55286"/>
                                </a:lnTo>
                                <a:lnTo>
                                  <a:pt x="21825" y="68445"/>
                                </a:lnTo>
                                <a:lnTo>
                                  <a:pt x="14722" y="81979"/>
                                </a:lnTo>
                                <a:lnTo>
                                  <a:pt x="14666" y="86574"/>
                                </a:lnTo>
                                <a:lnTo>
                                  <a:pt x="14547" y="96448"/>
                                </a:lnTo>
                                <a:lnTo>
                                  <a:pt x="21815" y="113717"/>
                                </a:lnTo>
                                <a:lnTo>
                                  <a:pt x="34675" y="128009"/>
                                </a:lnTo>
                                <a:lnTo>
                                  <a:pt x="49111" y="141525"/>
                                </a:lnTo>
                                <a:lnTo>
                                  <a:pt x="61106" y="156470"/>
                                </a:lnTo>
                                <a:lnTo>
                                  <a:pt x="64738" y="162831"/>
                                </a:lnTo>
                                <a:lnTo>
                                  <a:pt x="66465" y="171916"/>
                                </a:lnTo>
                                <a:lnTo>
                                  <a:pt x="66610" y="172594"/>
                                </a:lnTo>
                                <a:lnTo>
                                  <a:pt x="65537" y="175070"/>
                                </a:lnTo>
                                <a:lnTo>
                                  <a:pt x="62666" y="182180"/>
                                </a:lnTo>
                                <a:lnTo>
                                  <a:pt x="60151" y="193856"/>
                                </a:lnTo>
                                <a:lnTo>
                                  <a:pt x="60146" y="210028"/>
                                </a:lnTo>
                                <a:lnTo>
                                  <a:pt x="98642" y="210028"/>
                                </a:lnTo>
                                <a:lnTo>
                                  <a:pt x="125501" y="178224"/>
                                </a:lnTo>
                                <a:lnTo>
                                  <a:pt x="130204" y="160954"/>
                                </a:lnTo>
                                <a:lnTo>
                                  <a:pt x="72762" y="160954"/>
                                </a:lnTo>
                                <a:lnTo>
                                  <a:pt x="72846" y="156470"/>
                                </a:lnTo>
                                <a:lnTo>
                                  <a:pt x="72963" y="150183"/>
                                </a:lnTo>
                                <a:lnTo>
                                  <a:pt x="73059" y="145061"/>
                                </a:lnTo>
                                <a:lnTo>
                                  <a:pt x="76640" y="131363"/>
                                </a:lnTo>
                                <a:lnTo>
                                  <a:pt x="79526" y="126440"/>
                                </a:lnTo>
                                <a:lnTo>
                                  <a:pt x="69244" y="126440"/>
                                </a:lnTo>
                                <a:lnTo>
                                  <a:pt x="70425" y="107613"/>
                                </a:lnTo>
                                <a:lnTo>
                                  <a:pt x="71589" y="86574"/>
                                </a:lnTo>
                                <a:lnTo>
                                  <a:pt x="71473" y="83172"/>
                                </a:lnTo>
                                <a:lnTo>
                                  <a:pt x="71367" y="80090"/>
                                </a:lnTo>
                                <a:lnTo>
                                  <a:pt x="71294" y="77933"/>
                                </a:lnTo>
                                <a:lnTo>
                                  <a:pt x="71179" y="74581"/>
                                </a:lnTo>
                                <a:lnTo>
                                  <a:pt x="71135" y="73302"/>
                                </a:lnTo>
                                <a:lnTo>
                                  <a:pt x="71018" y="69876"/>
                                </a:lnTo>
                                <a:lnTo>
                                  <a:pt x="70901" y="66481"/>
                                </a:lnTo>
                                <a:lnTo>
                                  <a:pt x="70850" y="64981"/>
                                </a:lnTo>
                                <a:lnTo>
                                  <a:pt x="66480" y="41939"/>
                                </a:lnTo>
                                <a:close/>
                              </a:path>
                              <a:path w="271780" h="414655">
                                <a:moveTo>
                                  <a:pt x="138084" y="120978"/>
                                </a:moveTo>
                                <a:lnTo>
                                  <a:pt x="119950" y="128249"/>
                                </a:lnTo>
                                <a:lnTo>
                                  <a:pt x="101735" y="138244"/>
                                </a:lnTo>
                                <a:lnTo>
                                  <a:pt x="85364" y="149599"/>
                                </a:lnTo>
                                <a:lnTo>
                                  <a:pt x="72762" y="160954"/>
                                </a:lnTo>
                                <a:lnTo>
                                  <a:pt x="130204" y="160954"/>
                                </a:lnTo>
                                <a:lnTo>
                                  <a:pt x="132149" y="150183"/>
                                </a:lnTo>
                                <a:lnTo>
                                  <a:pt x="134475" y="136021"/>
                                </a:lnTo>
                                <a:lnTo>
                                  <a:pt x="138084" y="120978"/>
                                </a:lnTo>
                                <a:close/>
                              </a:path>
                              <a:path w="271780" h="414655">
                                <a:moveTo>
                                  <a:pt x="165926" y="9223"/>
                                </a:moveTo>
                                <a:lnTo>
                                  <a:pt x="125514" y="21944"/>
                                </a:lnTo>
                                <a:lnTo>
                                  <a:pt x="99783" y="41790"/>
                                </a:lnTo>
                                <a:lnTo>
                                  <a:pt x="99683" y="41939"/>
                                </a:lnTo>
                                <a:lnTo>
                                  <a:pt x="93508" y="59739"/>
                                </a:lnTo>
                                <a:lnTo>
                                  <a:pt x="88855" y="83172"/>
                                </a:lnTo>
                                <a:lnTo>
                                  <a:pt x="88789" y="83505"/>
                                </a:lnTo>
                                <a:lnTo>
                                  <a:pt x="81908" y="107613"/>
                                </a:lnTo>
                                <a:lnTo>
                                  <a:pt x="69244" y="126440"/>
                                </a:lnTo>
                                <a:lnTo>
                                  <a:pt x="79526" y="126440"/>
                                </a:lnTo>
                                <a:lnTo>
                                  <a:pt x="110973" y="98823"/>
                                </a:lnTo>
                                <a:lnTo>
                                  <a:pt x="147486" y="83172"/>
                                </a:lnTo>
                                <a:lnTo>
                                  <a:pt x="157312" y="80090"/>
                                </a:lnTo>
                                <a:lnTo>
                                  <a:pt x="130913" y="80090"/>
                                </a:lnTo>
                                <a:lnTo>
                                  <a:pt x="133125" y="77933"/>
                                </a:lnTo>
                                <a:lnTo>
                                  <a:pt x="137983" y="73302"/>
                                </a:lnTo>
                                <a:lnTo>
                                  <a:pt x="144251" y="65705"/>
                                </a:lnTo>
                                <a:lnTo>
                                  <a:pt x="150689" y="54647"/>
                                </a:lnTo>
                                <a:lnTo>
                                  <a:pt x="155756" y="41939"/>
                                </a:lnTo>
                                <a:lnTo>
                                  <a:pt x="160663" y="27272"/>
                                </a:lnTo>
                                <a:lnTo>
                                  <a:pt x="164256" y="15340"/>
                                </a:lnTo>
                                <a:lnTo>
                                  <a:pt x="165926" y="9223"/>
                                </a:lnTo>
                                <a:close/>
                              </a:path>
                              <a:path w="271780" h="414655">
                                <a:moveTo>
                                  <a:pt x="262021" y="0"/>
                                </a:moveTo>
                                <a:lnTo>
                                  <a:pt x="207075" y="9223"/>
                                </a:lnTo>
                                <a:lnTo>
                                  <a:pt x="182310" y="38120"/>
                                </a:lnTo>
                                <a:lnTo>
                                  <a:pt x="177774" y="44389"/>
                                </a:lnTo>
                                <a:lnTo>
                                  <a:pt x="143537" y="75921"/>
                                </a:lnTo>
                                <a:lnTo>
                                  <a:pt x="130913" y="80090"/>
                                </a:lnTo>
                                <a:lnTo>
                                  <a:pt x="157312" y="80090"/>
                                </a:lnTo>
                                <a:lnTo>
                                  <a:pt x="163254" y="78226"/>
                                </a:lnTo>
                                <a:lnTo>
                                  <a:pt x="176924" y="74581"/>
                                </a:lnTo>
                                <a:lnTo>
                                  <a:pt x="192134" y="70692"/>
                                </a:lnTo>
                                <a:lnTo>
                                  <a:pt x="206782" y="66481"/>
                                </a:lnTo>
                                <a:lnTo>
                                  <a:pt x="252067" y="33009"/>
                                </a:lnTo>
                                <a:lnTo>
                                  <a:pt x="271516" y="138"/>
                                </a:lnTo>
                                <a:lnTo>
                                  <a:pt x="262021"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135589" y="141971"/>
                            <a:ext cx="186055" cy="269240"/>
                          </a:xfrm>
                          <a:custGeom>
                            <a:avLst/>
                            <a:gdLst/>
                            <a:ahLst/>
                            <a:cxnLst/>
                            <a:rect l="l" t="t" r="r" b="b"/>
                            <a:pathLst>
                              <a:path w="186055" h="269240">
                                <a:moveTo>
                                  <a:pt x="59791" y="267004"/>
                                </a:moveTo>
                                <a:lnTo>
                                  <a:pt x="31127" y="177088"/>
                                </a:lnTo>
                                <a:lnTo>
                                  <a:pt x="0" y="267042"/>
                                </a:lnTo>
                                <a:lnTo>
                                  <a:pt x="21209" y="268554"/>
                                </a:lnTo>
                                <a:lnTo>
                                  <a:pt x="31203" y="268808"/>
                                </a:lnTo>
                                <a:lnTo>
                                  <a:pt x="40398" y="268528"/>
                                </a:lnTo>
                                <a:lnTo>
                                  <a:pt x="49745" y="267893"/>
                                </a:lnTo>
                                <a:lnTo>
                                  <a:pt x="59791" y="267004"/>
                                </a:lnTo>
                                <a:close/>
                              </a:path>
                              <a:path w="186055" h="269240">
                                <a:moveTo>
                                  <a:pt x="110020" y="15367"/>
                                </a:moveTo>
                                <a:lnTo>
                                  <a:pt x="106210" y="5930"/>
                                </a:lnTo>
                                <a:lnTo>
                                  <a:pt x="98069" y="1270"/>
                                </a:lnTo>
                                <a:lnTo>
                                  <a:pt x="86728" y="0"/>
                                </a:lnTo>
                                <a:lnTo>
                                  <a:pt x="73266" y="762"/>
                                </a:lnTo>
                                <a:lnTo>
                                  <a:pt x="63284" y="1676"/>
                                </a:lnTo>
                                <a:lnTo>
                                  <a:pt x="59918" y="4406"/>
                                </a:lnTo>
                                <a:lnTo>
                                  <a:pt x="63449" y="15367"/>
                                </a:lnTo>
                                <a:lnTo>
                                  <a:pt x="109918" y="15367"/>
                                </a:lnTo>
                                <a:close/>
                              </a:path>
                              <a:path w="186055" h="269240">
                                <a:moveTo>
                                  <a:pt x="185978" y="267042"/>
                                </a:moveTo>
                                <a:lnTo>
                                  <a:pt x="154698" y="177088"/>
                                </a:lnTo>
                                <a:lnTo>
                                  <a:pt x="126212" y="267042"/>
                                </a:lnTo>
                                <a:lnTo>
                                  <a:pt x="145656" y="268554"/>
                                </a:lnTo>
                                <a:lnTo>
                                  <a:pt x="154762" y="268808"/>
                                </a:lnTo>
                                <a:lnTo>
                                  <a:pt x="164782" y="268528"/>
                                </a:lnTo>
                                <a:lnTo>
                                  <a:pt x="185978" y="26704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01.831635pt;margin-top:-14.700431pt;width:39.25pt;height:34.75pt;mso-position-horizontal-relative:page;mso-position-vertical-relative:paragraph;z-index:15729152" id="docshapegroup5" coordorigin="8037,-294" coordsize="785,695">
                <v:shape style="position:absolute;left:8493;top:-287;width:328;height:662" id="docshape6" coordorigin="8494,-287" coordsize="328,662" path="m8821,61l8816,-44,8806,-131,8786,-202,8715,-240,8642,-264,8550,-287,8519,-249,8502,-222,8496,-205,8494,-195,8497,-185,8505,-171,8518,-154,8532,-135,8570,-88,8579,-75,8584,-65,8587,-39,8583,-4,8574,36,8564,78,8581,173,8598,128,8614,68,8627,11,8633,-28,8666,-18,8674,-32,8683,-54,8690,-75,8700,-72,8708,-68,8709,-58,8712,-29,8712,-5,8710,27,8704,101,8693,172,8672,279,8653,357,8650,374,8704,344,8725,278,8740,203,8748,155,8752,131,8756,99,8759,67,8760,36,8760,-5,8760,-18,8761,-25,8758,-44,8749,-56,8726,-69,8728,-75,8735,-99,8737,-113,8738,-122,8738,-128,8737,-140,8706,-165,8683,-164,8684,-164,8691,-153,8693,-141,8693,-140,8692,-128,8692,-126,8690,-113,8686,-118,8681,-123,8669,-127,8648,-128,8646,-143,8646,-101,8642,-80,8637,-62,8629,-77,8622,-91,8614,-104,8598,-124,8603,-119,8612,-122,8620,-122,8629,-123,8643,-118,8646,-101,8646,-143,8643,-164,8643,-164,8637,-185,8632,-195,8629,-198,8621,-201,8607,-202,8593,-201,8582,-198,8583,-198,8589,-188,8595,-168,8598,-145,8597,-128,8597,-126,8567,-163,8549,-188,8543,-204,8545,-209,8549,-216,8556,-226,8567,-239,8562,-252,8567,-239,8621,-226,8678,-208,8745,-176,8766,-86,8774,39,8773,127,8767,216,8759,281,8753,320,8750,332,8767,323,8811,263,8818,171,8821,117,8821,61xe" filled="true" fillcolor="#000000" stroked="false">
                  <v:path arrowok="t"/>
                  <v:fill type="solid"/>
                </v:shape>
                <v:shape style="position:absolute;left:8193;top:-133;width:499;height:533" type="#_x0000_t75" id="docshape7" stroked="false">
                  <v:imagedata r:id="rId12" o:title=""/>
                </v:shape>
                <v:shape style="position:absolute;left:8036;top:-294;width:428;height:653" id="docshape8" coordorigin="8037,-294" coordsize="428,653" path="m8037,128l8037,148,8038,171,8041,197,8042,213,8046,236,8051,258,8060,280,8075,300,8100,318,8133,336,8165,350,8186,359,8183,344,8170,306,8163,287,8155,267,8170,252,8190,229,8194,224,8131,224,8128,220,8121,210,8109,195,8095,177,8077,160,8058,144,8043,133,8037,128xm8040,-81l8037,-23,8037,-18,8037,-13,8037,-12,8040,29,8045,52,8051,63,8067,83,8114,127,8128,145,8128,145,8134,157,8136,161,8135,166,8131,174,8128,185,8127,195,8127,197,8127,198,8128,205,8128,205,8130,214,8131,224,8194,224,8209,205,8220,183,8226,154,8227,148,8144,148,8143,133,8143,127,8145,110,8150,92,8157,77,8174,55,8192,37,8131,37,8129,32,8122,21,8113,6,8103,-9,8084,-32,8063,-55,8047,-73,8040,-81xm8236,65l8228,70,8210,83,8188,101,8168,120,8158,130,8144,148,8227,148,8231,120,8231,119,8234,86,8236,65xm8141,-228l8097,-207,8071,-186,8060,-165,8060,-158,8060,-142,8071,-115,8091,-92,8114,-71,8133,-48,8139,-38,8141,-23,8142,-22,8140,-18,8135,-7,8131,11,8131,37,8192,37,8199,30,8221,6,8234,-13,8241,-36,8242,-41,8151,-41,8151,-48,8152,-57,8152,-66,8157,-87,8162,-95,8146,-95,8148,-125,8149,-158,8149,-163,8149,-168,8149,-171,8149,-177,8149,-179,8148,-184,8148,-189,8148,-192,8141,-228xm8254,-103l8226,-92,8197,-76,8171,-58,8151,-41,8242,-41,8245,-57,8248,-80,8254,-103xm8298,-279l8281,-277,8266,-272,8251,-266,8234,-259,8218,-251,8206,-243,8199,-236,8194,-228,8194,-228,8184,-200,8177,-163,8176,-163,8166,-125,8146,-95,8162,-95,8168,-105,8184,-121,8211,-138,8241,-152,8269,-163,8284,-168,8243,-168,8246,-171,8254,-179,8264,-191,8274,-208,8282,-228,8290,-251,8295,-270,8298,-279xm8449,-294l8425,-293,8395,-289,8363,-279,8352,-273,8344,-265,8337,-256,8324,-234,8317,-224,8310,-215,8296,-197,8280,-184,8263,-174,8243,-168,8284,-168,8294,-171,8315,-177,8339,-183,8362,-189,8381,-196,8382,-197,8409,-216,8434,-242,8453,-270,8464,-294,8449,-294xe" filled="true" fillcolor="#000000" stroked="false">
                  <v:path arrowok="t"/>
                  <v:fill type="solid"/>
                </v:shape>
                <v:shape style="position:absolute;left:8250;top:-71;width:293;height:424" id="docshape9" coordorigin="8250,-70" coordsize="293,424" path="m8344,350l8299,208,8250,350,8284,352,8299,353,8314,352,8329,351,8344,350xm8423,-46l8417,-61,8405,-68,8387,-70,8366,-69,8350,-68,8345,-63,8350,-46,8423,-46,8423,-46xm8543,350l8494,208,8449,350,8480,352,8494,353,8510,352,8543,350xe" filled="true" fillcolor="#ffffff" stroked="false">
                  <v:path arrowok="t"/>
                  <v:fill type="solid"/>
                </v:shape>
                <w10:wrap type="none"/>
              </v:group>
            </w:pict>
          </mc:Fallback>
        </mc:AlternateContent>
      </w:r>
      <w:r>
        <w:rPr>
          <w:rFonts w:ascii="Arial Black"/>
          <w:w w:val="85"/>
        </w:rPr>
        <w:t>Internal</w:t>
      </w:r>
      <w:r>
        <w:rPr>
          <w:rFonts w:ascii="Arial Black"/>
          <w:spacing w:val="-6"/>
        </w:rPr>
        <w:t> </w:t>
      </w:r>
      <w:r>
        <w:rPr>
          <w:rFonts w:ascii="Arial Black"/>
          <w:w w:val="85"/>
        </w:rPr>
        <w:t>Revenue</w:t>
      </w:r>
      <w:r>
        <w:rPr>
          <w:rFonts w:ascii="Arial Black"/>
          <w:spacing w:val="-5"/>
        </w:rPr>
        <w:t> </w:t>
      </w:r>
      <w:r>
        <w:rPr>
          <w:rFonts w:ascii="Arial Black"/>
          <w:spacing w:val="-2"/>
          <w:w w:val="85"/>
        </w:rPr>
        <w:t>Service</w:t>
      </w: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spacing w:before="171"/>
        <w:ind w:left="0"/>
        <w:rPr>
          <w:rFonts w:ascii="Arial Black"/>
        </w:rPr>
      </w:pPr>
    </w:p>
    <w:p>
      <w:pPr>
        <w:pStyle w:val="BodyText"/>
        <w:spacing w:line="232" w:lineRule="auto"/>
        <w:ind w:right="227"/>
      </w:pPr>
      <w:r>
        <w:rPr/>
        <w:t>furnishing</w:t>
      </w:r>
      <w:r>
        <w:rPr>
          <w:spacing w:val="-14"/>
        </w:rPr>
        <w:t> </w:t>
      </w:r>
      <w:r>
        <w:rPr/>
        <w:t>statements</w:t>
      </w:r>
      <w:r>
        <w:rPr>
          <w:spacing w:val="-14"/>
        </w:rPr>
        <w:t> </w:t>
      </w:r>
      <w:r>
        <w:rPr/>
        <w:t>to</w:t>
      </w:r>
      <w:r>
        <w:rPr>
          <w:spacing w:val="-14"/>
        </w:rPr>
        <w:t> </w:t>
      </w:r>
      <w:r>
        <w:rPr/>
        <w:t>recipients</w:t>
      </w:r>
      <w:r>
        <w:rPr>
          <w:spacing w:val="-14"/>
        </w:rPr>
        <w:t> </w:t>
      </w:r>
      <w:r>
        <w:rPr/>
        <w:t>and</w:t>
      </w:r>
      <w:r>
        <w:rPr>
          <w:spacing w:val="-14"/>
        </w:rPr>
        <w:t> </w:t>
      </w:r>
      <w:r>
        <w:rPr/>
        <w:t>for</w:t>
      </w:r>
      <w:r>
        <w:rPr>
          <w:spacing w:val="-14"/>
        </w:rPr>
        <w:t> </w:t>
      </w:r>
      <w:r>
        <w:rPr/>
        <w:t>retaining</w:t>
      </w:r>
      <w:r>
        <w:rPr>
          <w:spacing w:val="-14"/>
        </w:rPr>
        <w:t> </w:t>
      </w:r>
      <w:r>
        <w:rPr/>
        <w:t>in your own files.</w:t>
      </w:r>
    </w:p>
    <w:p>
      <w:pPr>
        <w:pStyle w:val="BodyText"/>
        <w:spacing w:before="8"/>
        <w:ind w:left="0"/>
        <w:rPr>
          <w:sz w:val="8"/>
        </w:rPr>
      </w:pPr>
      <w:r>
        <w:rPr>
          <w:sz w:val="8"/>
        </w:rPr>
        <mc:AlternateContent>
          <mc:Choice Requires="wps">
            <w:drawing>
              <wp:anchor distT="0" distB="0" distL="0" distR="0" allowOverlap="1" layoutInCell="1" locked="0" behindDoc="1" simplePos="0" relativeHeight="487587840">
                <wp:simplePos x="0" y="0"/>
                <wp:positionH relativeFrom="page">
                  <wp:posOffset>4000500</wp:posOffset>
                </wp:positionH>
                <wp:positionV relativeFrom="paragraph">
                  <wp:posOffset>78765</wp:posOffset>
                </wp:positionV>
                <wp:extent cx="32385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3238500" cy="1270"/>
                        </a:xfrm>
                        <a:custGeom>
                          <a:avLst/>
                          <a:gdLst/>
                          <a:ahLst/>
                          <a:cxnLst/>
                          <a:rect l="l" t="t" r="r" b="b"/>
                          <a:pathLst>
                            <a:path w="3238500" h="0">
                              <a:moveTo>
                                <a:pt x="0" y="0"/>
                              </a:moveTo>
                              <a:lnTo>
                                <a:pt x="323850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201993pt;width:255pt;height:.1pt;mso-position-horizontal-relative:page;mso-position-vertical-relative:paragraph;z-index:-15728640;mso-wrap-distance-left:0;mso-wrap-distance-right:0" id="docshape10" coordorigin="6300,124" coordsize="5100,0" path="m6300,124l11400,124e" filled="false" stroked="true" strokeweight="2pt" strokecolor="#000000">
                <v:path arrowok="t"/>
                <v:stroke dashstyle="solid"/>
                <w10:wrap type="topAndBottom"/>
              </v:shape>
            </w:pict>
          </mc:Fallback>
        </mc:AlternateContent>
      </w:r>
    </w:p>
    <w:p>
      <w:pPr>
        <w:pStyle w:val="Heading1"/>
      </w:pPr>
      <w:r>
        <w:rPr>
          <w:w w:val="85"/>
        </w:rPr>
        <w:t>Specific</w:t>
      </w:r>
      <w:r>
        <w:rPr>
          <w:spacing w:val="-9"/>
          <w:w w:val="95"/>
        </w:rPr>
        <w:t> </w:t>
      </w:r>
      <w:r>
        <w:rPr>
          <w:spacing w:val="-2"/>
          <w:w w:val="95"/>
        </w:rPr>
        <w:t>Instructions</w:t>
      </w:r>
    </w:p>
    <w:p>
      <w:pPr>
        <w:pStyle w:val="BodyText"/>
        <w:spacing w:line="213" w:lineRule="exact" w:before="9"/>
      </w:pPr>
      <w:r>
        <w:rPr>
          <w:spacing w:val="-2"/>
        </w:rPr>
        <w:t>File</w:t>
      </w:r>
      <w:r>
        <w:rPr>
          <w:spacing w:val="-7"/>
        </w:rPr>
        <w:t> </w:t>
      </w:r>
      <w:r>
        <w:rPr>
          <w:spacing w:val="-2"/>
        </w:rPr>
        <w:t>Form</w:t>
      </w:r>
      <w:r>
        <w:rPr>
          <w:spacing w:val="-7"/>
        </w:rPr>
        <w:t> </w:t>
      </w:r>
      <w:r>
        <w:rPr>
          <w:spacing w:val="-2"/>
        </w:rPr>
        <w:t>1099-DIV</w:t>
      </w:r>
      <w:r>
        <w:rPr>
          <w:spacing w:val="-6"/>
        </w:rPr>
        <w:t> </w:t>
      </w:r>
      <w:r>
        <w:rPr>
          <w:spacing w:val="-2"/>
        </w:rPr>
        <w:t>for</w:t>
      </w:r>
      <w:r>
        <w:rPr>
          <w:spacing w:val="-7"/>
        </w:rPr>
        <w:t> </w:t>
      </w:r>
      <w:r>
        <w:rPr>
          <w:spacing w:val="-2"/>
        </w:rPr>
        <w:t>each</w:t>
      </w:r>
      <w:r>
        <w:rPr>
          <w:spacing w:val="-6"/>
        </w:rPr>
        <w:t> </w:t>
      </w:r>
      <w:r>
        <w:rPr>
          <w:spacing w:val="-2"/>
        </w:rPr>
        <w:t>person:</w:t>
      </w:r>
    </w:p>
    <w:p>
      <w:pPr>
        <w:pStyle w:val="ListParagraph"/>
        <w:numPr>
          <w:ilvl w:val="0"/>
          <w:numId w:val="1"/>
        </w:numPr>
        <w:tabs>
          <w:tab w:pos="329" w:val="left" w:leader="none"/>
        </w:tabs>
        <w:spacing w:line="228" w:lineRule="auto" w:before="0" w:after="0"/>
        <w:ind w:left="120" w:right="297" w:firstLine="15"/>
        <w:jc w:val="left"/>
        <w:rPr>
          <w:sz w:val="20"/>
        </w:rPr>
      </w:pPr>
      <w:r>
        <w:rPr>
          <w:position w:val="1"/>
          <w:sz w:val="20"/>
        </w:rPr>
        <w:t>To whom you have paid dividends (including capital </w:t>
      </w:r>
      <w:r>
        <w:rPr>
          <w:sz w:val="20"/>
        </w:rPr>
        <w:t>gain</w:t>
      </w:r>
      <w:r>
        <w:rPr>
          <w:spacing w:val="-14"/>
          <w:sz w:val="20"/>
        </w:rPr>
        <w:t> </w:t>
      </w:r>
      <w:r>
        <w:rPr>
          <w:sz w:val="20"/>
        </w:rPr>
        <w:t>dividends</w:t>
      </w:r>
      <w:r>
        <w:rPr>
          <w:spacing w:val="-14"/>
          <w:sz w:val="20"/>
        </w:rPr>
        <w:t> </w:t>
      </w:r>
      <w:r>
        <w:rPr>
          <w:sz w:val="20"/>
        </w:rPr>
        <w:t>and</w:t>
      </w:r>
      <w:r>
        <w:rPr>
          <w:spacing w:val="-14"/>
          <w:sz w:val="20"/>
        </w:rPr>
        <w:t> </w:t>
      </w:r>
      <w:r>
        <w:rPr>
          <w:sz w:val="20"/>
        </w:rPr>
        <w:t>exempt-interest</w:t>
      </w:r>
      <w:r>
        <w:rPr>
          <w:spacing w:val="-14"/>
          <w:sz w:val="20"/>
        </w:rPr>
        <w:t> </w:t>
      </w:r>
      <w:r>
        <w:rPr>
          <w:sz w:val="20"/>
        </w:rPr>
        <w:t>dividends)</w:t>
      </w:r>
      <w:r>
        <w:rPr>
          <w:spacing w:val="-14"/>
          <w:sz w:val="20"/>
        </w:rPr>
        <w:t> </w:t>
      </w:r>
      <w:r>
        <w:rPr>
          <w:sz w:val="20"/>
        </w:rPr>
        <w:t>and</w:t>
      </w:r>
      <w:r>
        <w:rPr>
          <w:spacing w:val="-14"/>
          <w:sz w:val="20"/>
        </w:rPr>
        <w:t> </w:t>
      </w:r>
      <w:r>
        <w:rPr>
          <w:sz w:val="20"/>
        </w:rPr>
        <w:t>other distributions valued at $10 or more in money or other </w:t>
      </w:r>
      <w:r>
        <w:rPr>
          <w:spacing w:val="-2"/>
          <w:sz w:val="20"/>
        </w:rPr>
        <w:t>property,</w:t>
      </w:r>
    </w:p>
    <w:p>
      <w:pPr>
        <w:pStyle w:val="ListParagraph"/>
        <w:numPr>
          <w:ilvl w:val="0"/>
          <w:numId w:val="1"/>
        </w:numPr>
        <w:tabs>
          <w:tab w:pos="329" w:val="left" w:leader="none"/>
        </w:tabs>
        <w:spacing w:line="216" w:lineRule="auto" w:before="0" w:after="0"/>
        <w:ind w:left="120" w:right="373" w:firstLine="15"/>
        <w:jc w:val="left"/>
        <w:rPr>
          <w:sz w:val="20"/>
        </w:rPr>
      </w:pPr>
      <w:r>
        <w:rPr>
          <w:position w:val="1"/>
          <w:sz w:val="20"/>
        </w:rPr>
        <w:t>For</w:t>
      </w:r>
      <w:r>
        <w:rPr>
          <w:spacing w:val="-14"/>
          <w:position w:val="1"/>
          <w:sz w:val="20"/>
        </w:rPr>
        <w:t> </w:t>
      </w:r>
      <w:r>
        <w:rPr>
          <w:position w:val="1"/>
          <w:sz w:val="20"/>
        </w:rPr>
        <w:t>whom</w:t>
      </w:r>
      <w:r>
        <w:rPr>
          <w:spacing w:val="-14"/>
          <w:position w:val="1"/>
          <w:sz w:val="20"/>
        </w:rPr>
        <w:t> </w:t>
      </w:r>
      <w:r>
        <w:rPr>
          <w:position w:val="1"/>
          <w:sz w:val="20"/>
        </w:rPr>
        <w:t>you</w:t>
      </w:r>
      <w:r>
        <w:rPr>
          <w:spacing w:val="-14"/>
          <w:position w:val="1"/>
          <w:sz w:val="20"/>
        </w:rPr>
        <w:t> </w:t>
      </w:r>
      <w:r>
        <w:rPr>
          <w:position w:val="1"/>
          <w:sz w:val="20"/>
        </w:rPr>
        <w:t>have</w:t>
      </w:r>
      <w:r>
        <w:rPr>
          <w:spacing w:val="-14"/>
          <w:position w:val="1"/>
          <w:sz w:val="20"/>
        </w:rPr>
        <w:t> </w:t>
      </w:r>
      <w:r>
        <w:rPr>
          <w:position w:val="1"/>
          <w:sz w:val="20"/>
        </w:rPr>
        <w:t>withheld</w:t>
      </w:r>
      <w:r>
        <w:rPr>
          <w:spacing w:val="-14"/>
          <w:position w:val="1"/>
          <w:sz w:val="20"/>
        </w:rPr>
        <w:t> </w:t>
      </w:r>
      <w:r>
        <w:rPr>
          <w:position w:val="1"/>
          <w:sz w:val="20"/>
        </w:rPr>
        <w:t>and</w:t>
      </w:r>
      <w:r>
        <w:rPr>
          <w:spacing w:val="-14"/>
          <w:position w:val="1"/>
          <w:sz w:val="20"/>
        </w:rPr>
        <w:t> </w:t>
      </w:r>
      <w:r>
        <w:rPr>
          <w:position w:val="1"/>
          <w:sz w:val="20"/>
        </w:rPr>
        <w:t>paid</w:t>
      </w:r>
      <w:r>
        <w:rPr>
          <w:spacing w:val="-14"/>
          <w:position w:val="1"/>
          <w:sz w:val="20"/>
        </w:rPr>
        <w:t> </w:t>
      </w:r>
      <w:r>
        <w:rPr>
          <w:position w:val="1"/>
          <w:sz w:val="20"/>
        </w:rPr>
        <w:t>any</w:t>
      </w:r>
      <w:r>
        <w:rPr>
          <w:spacing w:val="-14"/>
          <w:position w:val="1"/>
          <w:sz w:val="20"/>
        </w:rPr>
        <w:t> </w:t>
      </w:r>
      <w:r>
        <w:rPr>
          <w:position w:val="1"/>
          <w:sz w:val="20"/>
        </w:rPr>
        <w:t>foreign</w:t>
      </w:r>
      <w:r>
        <w:rPr>
          <w:spacing w:val="-14"/>
          <w:position w:val="1"/>
          <w:sz w:val="20"/>
        </w:rPr>
        <w:t> </w:t>
      </w:r>
      <w:r>
        <w:rPr>
          <w:position w:val="1"/>
          <w:sz w:val="20"/>
        </w:rPr>
        <w:t>tax </w:t>
      </w:r>
      <w:r>
        <w:rPr>
          <w:sz w:val="20"/>
        </w:rPr>
        <w:t>on dividends and other distributions on stock,</w:t>
      </w:r>
    </w:p>
    <w:p>
      <w:pPr>
        <w:pStyle w:val="ListParagraph"/>
        <w:numPr>
          <w:ilvl w:val="0"/>
          <w:numId w:val="1"/>
        </w:numPr>
        <w:tabs>
          <w:tab w:pos="329" w:val="left" w:leader="none"/>
        </w:tabs>
        <w:spacing w:line="216" w:lineRule="auto" w:before="0" w:after="0"/>
        <w:ind w:left="120" w:right="220" w:firstLine="15"/>
        <w:jc w:val="left"/>
        <w:rPr>
          <w:sz w:val="20"/>
        </w:rPr>
      </w:pPr>
      <w:r>
        <w:rPr>
          <w:position w:val="1"/>
          <w:sz w:val="20"/>
        </w:rPr>
        <w:t>For</w:t>
      </w:r>
      <w:r>
        <w:rPr>
          <w:spacing w:val="-14"/>
          <w:position w:val="1"/>
          <w:sz w:val="20"/>
        </w:rPr>
        <w:t> </w:t>
      </w:r>
      <w:r>
        <w:rPr>
          <w:position w:val="1"/>
          <w:sz w:val="20"/>
        </w:rPr>
        <w:t>whom</w:t>
      </w:r>
      <w:r>
        <w:rPr>
          <w:spacing w:val="-14"/>
          <w:position w:val="1"/>
          <w:sz w:val="20"/>
        </w:rPr>
        <w:t> </w:t>
      </w:r>
      <w:r>
        <w:rPr>
          <w:position w:val="1"/>
          <w:sz w:val="20"/>
        </w:rPr>
        <w:t>you</w:t>
      </w:r>
      <w:r>
        <w:rPr>
          <w:spacing w:val="-14"/>
          <w:position w:val="1"/>
          <w:sz w:val="20"/>
        </w:rPr>
        <w:t> </w:t>
      </w:r>
      <w:r>
        <w:rPr>
          <w:position w:val="1"/>
          <w:sz w:val="20"/>
        </w:rPr>
        <w:t>have</w:t>
      </w:r>
      <w:r>
        <w:rPr>
          <w:spacing w:val="-14"/>
          <w:position w:val="1"/>
          <w:sz w:val="20"/>
        </w:rPr>
        <w:t> </w:t>
      </w:r>
      <w:r>
        <w:rPr>
          <w:position w:val="1"/>
          <w:sz w:val="20"/>
        </w:rPr>
        <w:t>withheld</w:t>
      </w:r>
      <w:r>
        <w:rPr>
          <w:spacing w:val="-14"/>
          <w:position w:val="1"/>
          <w:sz w:val="20"/>
        </w:rPr>
        <w:t> </w:t>
      </w:r>
      <w:r>
        <w:rPr>
          <w:position w:val="1"/>
          <w:sz w:val="20"/>
        </w:rPr>
        <w:t>any</w:t>
      </w:r>
      <w:r>
        <w:rPr>
          <w:spacing w:val="-14"/>
          <w:position w:val="1"/>
          <w:sz w:val="20"/>
        </w:rPr>
        <w:t> </w:t>
      </w:r>
      <w:r>
        <w:rPr>
          <w:position w:val="1"/>
          <w:sz w:val="20"/>
        </w:rPr>
        <w:t>federal</w:t>
      </w:r>
      <w:r>
        <w:rPr>
          <w:spacing w:val="-14"/>
          <w:position w:val="1"/>
          <w:sz w:val="20"/>
        </w:rPr>
        <w:t> </w:t>
      </w:r>
      <w:r>
        <w:rPr>
          <w:position w:val="1"/>
          <w:sz w:val="20"/>
        </w:rPr>
        <w:t>income</w:t>
      </w:r>
      <w:r>
        <w:rPr>
          <w:spacing w:val="-14"/>
          <w:position w:val="1"/>
          <w:sz w:val="20"/>
        </w:rPr>
        <w:t> </w:t>
      </w:r>
      <w:r>
        <w:rPr>
          <w:position w:val="1"/>
          <w:sz w:val="20"/>
        </w:rPr>
        <w:t>tax</w:t>
      </w:r>
      <w:r>
        <w:rPr>
          <w:spacing w:val="-14"/>
          <w:position w:val="1"/>
          <w:sz w:val="20"/>
        </w:rPr>
        <w:t> </w:t>
      </w:r>
      <w:r>
        <w:rPr>
          <w:position w:val="1"/>
          <w:sz w:val="20"/>
        </w:rPr>
        <w:t>on </w:t>
      </w:r>
      <w:r>
        <w:rPr>
          <w:sz w:val="20"/>
        </w:rPr>
        <w:t>dividends under the backup withholding rules, or</w:t>
      </w:r>
    </w:p>
    <w:p>
      <w:pPr>
        <w:pStyle w:val="ListParagraph"/>
        <w:numPr>
          <w:ilvl w:val="0"/>
          <w:numId w:val="1"/>
        </w:numPr>
        <w:tabs>
          <w:tab w:pos="329" w:val="left" w:leader="none"/>
        </w:tabs>
        <w:spacing w:line="216" w:lineRule="auto" w:before="0" w:after="0"/>
        <w:ind w:left="120" w:right="158" w:firstLine="15"/>
        <w:jc w:val="left"/>
        <w:rPr>
          <w:sz w:val="20"/>
        </w:rPr>
      </w:pPr>
      <w:r>
        <w:rPr>
          <w:position w:val="1"/>
          <w:sz w:val="20"/>
        </w:rPr>
        <w:t>To</w:t>
      </w:r>
      <w:r>
        <w:rPr>
          <w:spacing w:val="-14"/>
          <w:position w:val="1"/>
          <w:sz w:val="20"/>
        </w:rPr>
        <w:t> </w:t>
      </w:r>
      <w:r>
        <w:rPr>
          <w:position w:val="1"/>
          <w:sz w:val="20"/>
        </w:rPr>
        <w:t>whom</w:t>
      </w:r>
      <w:r>
        <w:rPr>
          <w:spacing w:val="-14"/>
          <w:position w:val="1"/>
          <w:sz w:val="20"/>
        </w:rPr>
        <w:t> </w:t>
      </w:r>
      <w:r>
        <w:rPr>
          <w:position w:val="1"/>
          <w:sz w:val="20"/>
        </w:rPr>
        <w:t>you</w:t>
      </w:r>
      <w:r>
        <w:rPr>
          <w:spacing w:val="-14"/>
          <w:position w:val="1"/>
          <w:sz w:val="20"/>
        </w:rPr>
        <w:t> </w:t>
      </w:r>
      <w:r>
        <w:rPr>
          <w:position w:val="1"/>
          <w:sz w:val="20"/>
        </w:rPr>
        <w:t>have</w:t>
      </w:r>
      <w:r>
        <w:rPr>
          <w:spacing w:val="-14"/>
          <w:position w:val="1"/>
          <w:sz w:val="20"/>
        </w:rPr>
        <w:t> </w:t>
      </w:r>
      <w:r>
        <w:rPr>
          <w:position w:val="1"/>
          <w:sz w:val="20"/>
        </w:rPr>
        <w:t>paid</w:t>
      </w:r>
      <w:r>
        <w:rPr>
          <w:spacing w:val="-14"/>
          <w:position w:val="1"/>
          <w:sz w:val="20"/>
        </w:rPr>
        <w:t> </w:t>
      </w:r>
      <w:r>
        <w:rPr>
          <w:position w:val="1"/>
          <w:sz w:val="20"/>
        </w:rPr>
        <w:t>$600</w:t>
      </w:r>
      <w:r>
        <w:rPr>
          <w:spacing w:val="-14"/>
          <w:position w:val="1"/>
          <w:sz w:val="20"/>
        </w:rPr>
        <w:t> </w:t>
      </w:r>
      <w:r>
        <w:rPr>
          <w:position w:val="1"/>
          <w:sz w:val="20"/>
        </w:rPr>
        <w:t>or</w:t>
      </w:r>
      <w:r>
        <w:rPr>
          <w:spacing w:val="-14"/>
          <w:position w:val="1"/>
          <w:sz w:val="20"/>
        </w:rPr>
        <w:t> </w:t>
      </w:r>
      <w:r>
        <w:rPr>
          <w:position w:val="1"/>
          <w:sz w:val="20"/>
        </w:rPr>
        <w:t>more</w:t>
      </w:r>
      <w:r>
        <w:rPr>
          <w:spacing w:val="-14"/>
          <w:position w:val="1"/>
          <w:sz w:val="20"/>
        </w:rPr>
        <w:t> </w:t>
      </w:r>
      <w:r>
        <w:rPr>
          <w:position w:val="1"/>
          <w:sz w:val="20"/>
        </w:rPr>
        <w:t>in</w:t>
      </w:r>
      <w:r>
        <w:rPr>
          <w:spacing w:val="-14"/>
          <w:position w:val="1"/>
          <w:sz w:val="20"/>
        </w:rPr>
        <w:t> </w:t>
      </w:r>
      <w:r>
        <w:rPr>
          <w:position w:val="1"/>
          <w:sz w:val="20"/>
        </w:rPr>
        <w:t>money</w:t>
      </w:r>
      <w:r>
        <w:rPr>
          <w:spacing w:val="-13"/>
          <w:position w:val="1"/>
          <w:sz w:val="20"/>
        </w:rPr>
        <w:t> </w:t>
      </w:r>
      <w:r>
        <w:rPr>
          <w:position w:val="1"/>
          <w:sz w:val="20"/>
        </w:rPr>
        <w:t>or</w:t>
      </w:r>
      <w:r>
        <w:rPr>
          <w:spacing w:val="-14"/>
          <w:position w:val="1"/>
          <w:sz w:val="20"/>
        </w:rPr>
        <w:t> </w:t>
      </w:r>
      <w:r>
        <w:rPr>
          <w:position w:val="1"/>
          <w:sz w:val="20"/>
        </w:rPr>
        <w:t>other </w:t>
      </w:r>
      <w:r>
        <w:rPr>
          <w:sz w:val="20"/>
        </w:rPr>
        <w:t>property as part of a liquidation.</w:t>
      </w:r>
    </w:p>
    <w:p>
      <w:pPr>
        <w:pStyle w:val="Heading2"/>
        <w:spacing w:before="95"/>
      </w:pPr>
      <w:r>
        <w:rPr>
          <w:spacing w:val="-2"/>
        </w:rPr>
        <w:t>Dividends</w:t>
      </w:r>
    </w:p>
    <w:p>
      <w:pPr>
        <w:pStyle w:val="BodyText"/>
        <w:spacing w:line="232" w:lineRule="auto" w:before="27"/>
        <w:ind w:right="99"/>
      </w:pPr>
      <w:r>
        <w:rPr/>
        <w:t>If</w:t>
      </w:r>
      <w:r>
        <w:rPr>
          <w:spacing w:val="-14"/>
        </w:rPr>
        <w:t> </w:t>
      </w:r>
      <w:r>
        <w:rPr/>
        <w:t>you</w:t>
      </w:r>
      <w:r>
        <w:rPr>
          <w:spacing w:val="-14"/>
        </w:rPr>
        <w:t> </w:t>
      </w:r>
      <w:r>
        <w:rPr/>
        <w:t>make</w:t>
      </w:r>
      <w:r>
        <w:rPr>
          <w:spacing w:val="-14"/>
        </w:rPr>
        <w:t> </w:t>
      </w:r>
      <w:r>
        <w:rPr/>
        <w:t>a</w:t>
      </w:r>
      <w:r>
        <w:rPr>
          <w:spacing w:val="-14"/>
        </w:rPr>
        <w:t> </w:t>
      </w:r>
      <w:r>
        <w:rPr/>
        <w:t>payment</w:t>
      </w:r>
      <w:r>
        <w:rPr>
          <w:spacing w:val="-13"/>
        </w:rPr>
        <w:t> </w:t>
      </w:r>
      <w:r>
        <w:rPr/>
        <w:t>that</w:t>
      </w:r>
      <w:r>
        <w:rPr>
          <w:spacing w:val="-14"/>
        </w:rPr>
        <w:t> </w:t>
      </w:r>
      <w:r>
        <w:rPr/>
        <w:t>may</w:t>
      </w:r>
      <w:r>
        <w:rPr>
          <w:spacing w:val="-14"/>
        </w:rPr>
        <w:t> </w:t>
      </w:r>
      <w:r>
        <w:rPr/>
        <w:t>be</w:t>
      </w:r>
      <w:r>
        <w:rPr>
          <w:spacing w:val="-14"/>
        </w:rPr>
        <w:t> </w:t>
      </w:r>
      <w:r>
        <w:rPr/>
        <w:t>a</w:t>
      </w:r>
      <w:r>
        <w:rPr>
          <w:spacing w:val="-14"/>
        </w:rPr>
        <w:t> </w:t>
      </w:r>
      <w:r>
        <w:rPr/>
        <w:t>dividend</w:t>
      </w:r>
      <w:r>
        <w:rPr>
          <w:spacing w:val="-13"/>
        </w:rPr>
        <w:t> </w:t>
      </w:r>
      <w:r>
        <w:rPr/>
        <w:t>but</w:t>
      </w:r>
      <w:r>
        <w:rPr>
          <w:spacing w:val="-14"/>
        </w:rPr>
        <w:t> </w:t>
      </w:r>
      <w:r>
        <w:rPr/>
        <w:t>you</w:t>
      </w:r>
      <w:r>
        <w:rPr>
          <w:spacing w:val="-14"/>
        </w:rPr>
        <w:t> </w:t>
      </w:r>
      <w:r>
        <w:rPr/>
        <w:t>are unable</w:t>
      </w:r>
      <w:r>
        <w:rPr>
          <w:spacing w:val="-8"/>
        </w:rPr>
        <w:t> </w:t>
      </w:r>
      <w:r>
        <w:rPr/>
        <w:t>to</w:t>
      </w:r>
      <w:r>
        <w:rPr>
          <w:spacing w:val="-8"/>
        </w:rPr>
        <w:t> </w:t>
      </w:r>
      <w:r>
        <w:rPr/>
        <w:t>determine</w:t>
      </w:r>
      <w:r>
        <w:rPr>
          <w:spacing w:val="-8"/>
        </w:rPr>
        <w:t> </w:t>
      </w:r>
      <w:r>
        <w:rPr/>
        <w:t>whether</w:t>
      </w:r>
      <w:r>
        <w:rPr>
          <w:spacing w:val="-8"/>
        </w:rPr>
        <w:t> </w:t>
      </w:r>
      <w:r>
        <w:rPr/>
        <w:t>any</w:t>
      </w:r>
      <w:r>
        <w:rPr>
          <w:spacing w:val="-8"/>
        </w:rPr>
        <w:t> </w:t>
      </w:r>
      <w:r>
        <w:rPr/>
        <w:t>part</w:t>
      </w:r>
      <w:r>
        <w:rPr>
          <w:spacing w:val="-8"/>
        </w:rPr>
        <w:t> </w:t>
      </w:r>
      <w:r>
        <w:rPr/>
        <w:t>of</w:t>
      </w:r>
      <w:r>
        <w:rPr>
          <w:spacing w:val="-8"/>
        </w:rPr>
        <w:t> </w:t>
      </w:r>
      <w:r>
        <w:rPr/>
        <w:t>the</w:t>
      </w:r>
      <w:r>
        <w:rPr>
          <w:spacing w:val="-8"/>
        </w:rPr>
        <w:t> </w:t>
      </w:r>
      <w:r>
        <w:rPr/>
        <w:t>payment</w:t>
      </w:r>
      <w:r>
        <w:rPr>
          <w:spacing w:val="-8"/>
        </w:rPr>
        <w:t> </w:t>
      </w:r>
      <w:r>
        <w:rPr/>
        <w:t>is</w:t>
      </w:r>
      <w:r>
        <w:rPr>
          <w:spacing w:val="-8"/>
        </w:rPr>
        <w:t> </w:t>
      </w:r>
      <w:r>
        <w:rPr/>
        <w:t>a dividend by the time you must file Form 1099-DIV, the entire payment must be reported as a dividend. See the regulations under section 6042 for a definition of </w:t>
      </w:r>
      <w:r>
        <w:rPr>
          <w:spacing w:val="-2"/>
        </w:rPr>
        <w:t>dividends.</w:t>
      </w:r>
    </w:p>
    <w:p>
      <w:pPr>
        <w:pStyle w:val="Heading2"/>
        <w:spacing w:before="128"/>
        <w:ind w:left="119"/>
      </w:pPr>
      <w:r>
        <w:rPr>
          <w:spacing w:val="-2"/>
          <w:w w:val="95"/>
        </w:rPr>
        <w:t>Exceptions</w:t>
      </w:r>
    </w:p>
    <w:p>
      <w:pPr>
        <w:pStyle w:val="BodyText"/>
        <w:spacing w:line="232" w:lineRule="auto" w:before="27"/>
      </w:pPr>
      <w:r>
        <w:rPr>
          <w:spacing w:val="-2"/>
        </w:rPr>
        <w:t>You</w:t>
      </w:r>
      <w:r>
        <w:rPr>
          <w:spacing w:val="-9"/>
        </w:rPr>
        <w:t> </w:t>
      </w:r>
      <w:r>
        <w:rPr>
          <w:spacing w:val="-2"/>
        </w:rPr>
        <w:t>are</w:t>
      </w:r>
      <w:r>
        <w:rPr>
          <w:spacing w:val="-9"/>
        </w:rPr>
        <w:t> </w:t>
      </w:r>
      <w:r>
        <w:rPr>
          <w:spacing w:val="-2"/>
        </w:rPr>
        <w:t>not</w:t>
      </w:r>
      <w:r>
        <w:rPr>
          <w:spacing w:val="-9"/>
        </w:rPr>
        <w:t> </w:t>
      </w:r>
      <w:r>
        <w:rPr>
          <w:spacing w:val="-2"/>
        </w:rPr>
        <w:t>required</w:t>
      </w:r>
      <w:r>
        <w:rPr>
          <w:spacing w:val="-9"/>
        </w:rPr>
        <w:t> </w:t>
      </w:r>
      <w:r>
        <w:rPr>
          <w:spacing w:val="-2"/>
        </w:rPr>
        <w:t>to</w:t>
      </w:r>
      <w:r>
        <w:rPr>
          <w:spacing w:val="-9"/>
        </w:rPr>
        <w:t> </w:t>
      </w:r>
      <w:r>
        <w:rPr>
          <w:spacing w:val="-2"/>
        </w:rPr>
        <w:t>report</w:t>
      </w:r>
      <w:r>
        <w:rPr>
          <w:spacing w:val="-9"/>
        </w:rPr>
        <w:t> </w:t>
      </w:r>
      <w:r>
        <w:rPr>
          <w:spacing w:val="-2"/>
        </w:rPr>
        <w:t>on</w:t>
      </w:r>
      <w:r>
        <w:rPr>
          <w:spacing w:val="-9"/>
        </w:rPr>
        <w:t> </w:t>
      </w:r>
      <w:r>
        <w:rPr>
          <w:spacing w:val="-2"/>
        </w:rPr>
        <w:t>Form</w:t>
      </w:r>
      <w:r>
        <w:rPr>
          <w:spacing w:val="-9"/>
        </w:rPr>
        <w:t> </w:t>
      </w:r>
      <w:r>
        <w:rPr>
          <w:spacing w:val="-2"/>
        </w:rPr>
        <w:t>1099-DIV</w:t>
      </w:r>
      <w:r>
        <w:rPr>
          <w:spacing w:val="-9"/>
        </w:rPr>
        <w:t> </w:t>
      </w:r>
      <w:r>
        <w:rPr>
          <w:spacing w:val="-2"/>
        </w:rPr>
        <w:t>the following.</w:t>
      </w:r>
    </w:p>
    <w:p>
      <w:pPr>
        <w:pStyle w:val="ListParagraph"/>
        <w:numPr>
          <w:ilvl w:val="0"/>
          <w:numId w:val="2"/>
        </w:numPr>
        <w:tabs>
          <w:tab w:pos="659" w:val="left" w:leader="none"/>
        </w:tabs>
        <w:spacing w:line="232" w:lineRule="auto" w:before="62" w:after="0"/>
        <w:ind w:left="120" w:right="127" w:firstLine="240"/>
        <w:jc w:val="left"/>
        <w:rPr>
          <w:sz w:val="20"/>
        </w:rPr>
      </w:pPr>
      <w:r>
        <w:rPr>
          <w:sz w:val="20"/>
        </w:rPr>
        <w:t>Taxable dividend distributions from life insurance contracts</w:t>
      </w:r>
      <w:r>
        <w:rPr>
          <w:spacing w:val="-14"/>
          <w:sz w:val="20"/>
        </w:rPr>
        <w:t> </w:t>
      </w:r>
      <w:r>
        <w:rPr>
          <w:sz w:val="20"/>
        </w:rPr>
        <w:t>and</w:t>
      </w:r>
      <w:r>
        <w:rPr>
          <w:spacing w:val="-14"/>
          <w:sz w:val="20"/>
        </w:rPr>
        <w:t> </w:t>
      </w:r>
      <w:r>
        <w:rPr>
          <w:sz w:val="20"/>
        </w:rPr>
        <w:t>employee</w:t>
      </w:r>
      <w:r>
        <w:rPr>
          <w:spacing w:val="-14"/>
          <w:sz w:val="20"/>
        </w:rPr>
        <w:t> </w:t>
      </w:r>
      <w:r>
        <w:rPr>
          <w:sz w:val="20"/>
        </w:rPr>
        <w:t>stock</w:t>
      </w:r>
      <w:r>
        <w:rPr>
          <w:spacing w:val="-14"/>
          <w:sz w:val="20"/>
        </w:rPr>
        <w:t> </w:t>
      </w:r>
      <w:r>
        <w:rPr>
          <w:sz w:val="20"/>
        </w:rPr>
        <w:t>ownership</w:t>
      </w:r>
      <w:r>
        <w:rPr>
          <w:spacing w:val="-14"/>
          <w:sz w:val="20"/>
        </w:rPr>
        <w:t> </w:t>
      </w:r>
      <w:r>
        <w:rPr>
          <w:sz w:val="20"/>
        </w:rPr>
        <w:t>plans.</w:t>
      </w:r>
      <w:r>
        <w:rPr>
          <w:spacing w:val="-14"/>
          <w:sz w:val="20"/>
        </w:rPr>
        <w:t> </w:t>
      </w:r>
      <w:r>
        <w:rPr>
          <w:sz w:val="20"/>
        </w:rPr>
        <w:t>These</w:t>
      </w:r>
      <w:r>
        <w:rPr>
          <w:spacing w:val="-14"/>
          <w:sz w:val="20"/>
        </w:rPr>
        <w:t> </w:t>
      </w:r>
      <w:r>
        <w:rPr>
          <w:sz w:val="20"/>
        </w:rPr>
        <w:t>are reported on Form 1099-R.</w:t>
      </w:r>
    </w:p>
    <w:p>
      <w:pPr>
        <w:pStyle w:val="ListParagraph"/>
        <w:numPr>
          <w:ilvl w:val="0"/>
          <w:numId w:val="2"/>
        </w:numPr>
        <w:tabs>
          <w:tab w:pos="659" w:val="left" w:leader="none"/>
        </w:tabs>
        <w:spacing w:line="232" w:lineRule="auto" w:before="63" w:after="0"/>
        <w:ind w:left="120" w:right="222" w:firstLine="240"/>
        <w:jc w:val="left"/>
        <w:rPr>
          <w:sz w:val="20"/>
        </w:rPr>
      </w:pPr>
      <w:r>
        <w:rPr>
          <w:sz w:val="20"/>
        </w:rPr>
        <w:t>Substitute payments in lieu of dividends. For payments</w:t>
      </w:r>
      <w:r>
        <w:rPr>
          <w:spacing w:val="-14"/>
          <w:sz w:val="20"/>
        </w:rPr>
        <w:t> </w:t>
      </w:r>
      <w:r>
        <w:rPr>
          <w:sz w:val="20"/>
        </w:rPr>
        <w:t>received</w:t>
      </w:r>
      <w:r>
        <w:rPr>
          <w:spacing w:val="-14"/>
          <w:sz w:val="20"/>
        </w:rPr>
        <w:t> </w:t>
      </w:r>
      <w:r>
        <w:rPr>
          <w:sz w:val="20"/>
        </w:rPr>
        <w:t>by</w:t>
      </w:r>
      <w:r>
        <w:rPr>
          <w:spacing w:val="-14"/>
          <w:sz w:val="20"/>
        </w:rPr>
        <w:t> </w:t>
      </w:r>
      <w:r>
        <w:rPr>
          <w:sz w:val="20"/>
        </w:rPr>
        <w:t>a</w:t>
      </w:r>
      <w:r>
        <w:rPr>
          <w:spacing w:val="-14"/>
          <w:sz w:val="20"/>
        </w:rPr>
        <w:t> </w:t>
      </w:r>
      <w:r>
        <w:rPr>
          <w:sz w:val="20"/>
        </w:rPr>
        <w:t>broker</w:t>
      </w:r>
      <w:r>
        <w:rPr>
          <w:spacing w:val="-13"/>
          <w:sz w:val="20"/>
        </w:rPr>
        <w:t> </w:t>
      </w:r>
      <w:r>
        <w:rPr>
          <w:sz w:val="20"/>
        </w:rPr>
        <w:t>on</w:t>
      </w:r>
      <w:r>
        <w:rPr>
          <w:spacing w:val="-14"/>
          <w:sz w:val="20"/>
        </w:rPr>
        <w:t> </w:t>
      </w:r>
      <w:r>
        <w:rPr>
          <w:sz w:val="20"/>
        </w:rPr>
        <w:t>behalf</w:t>
      </w:r>
      <w:r>
        <w:rPr>
          <w:spacing w:val="-14"/>
          <w:sz w:val="20"/>
        </w:rPr>
        <w:t> </w:t>
      </w:r>
      <w:r>
        <w:rPr>
          <w:sz w:val="20"/>
        </w:rPr>
        <w:t>of</w:t>
      </w:r>
      <w:r>
        <w:rPr>
          <w:spacing w:val="-14"/>
          <w:sz w:val="20"/>
        </w:rPr>
        <w:t> </w:t>
      </w:r>
      <w:r>
        <w:rPr>
          <w:sz w:val="20"/>
        </w:rPr>
        <w:t>a</w:t>
      </w:r>
      <w:r>
        <w:rPr>
          <w:spacing w:val="-14"/>
          <w:sz w:val="20"/>
        </w:rPr>
        <w:t> </w:t>
      </w:r>
      <w:r>
        <w:rPr>
          <w:sz w:val="20"/>
        </w:rPr>
        <w:t>customer</w:t>
      </w:r>
      <w:r>
        <w:rPr>
          <w:spacing w:val="-13"/>
          <w:sz w:val="20"/>
        </w:rPr>
        <w:t> </w:t>
      </w:r>
      <w:r>
        <w:rPr>
          <w:sz w:val="20"/>
        </w:rPr>
        <w:t>in lieu of dividends as a result of a loan of a customer's securities, see the instructions for box 8 under </w:t>
      </w:r>
      <w:r>
        <w:rPr>
          <w:rFonts w:ascii="Arial"/>
          <w:i/>
          <w:sz w:val="20"/>
        </w:rPr>
        <w:t>Specific Instructions for Form 1099-MISC </w:t>
      </w:r>
      <w:r>
        <w:rPr>
          <w:sz w:val="20"/>
        </w:rPr>
        <w:t>in the current Instructions for Forms 1099-MISC and 1099-NEC.</w:t>
      </w:r>
    </w:p>
    <w:p>
      <w:pPr>
        <w:spacing w:line="232" w:lineRule="auto" w:before="106"/>
        <w:ind w:left="816" w:right="227"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0176">
                <wp:simplePos x="0" y="0"/>
                <wp:positionH relativeFrom="page">
                  <wp:posOffset>4000500</wp:posOffset>
                </wp:positionH>
                <wp:positionV relativeFrom="paragraph">
                  <wp:posOffset>88616</wp:posOffset>
                </wp:positionV>
                <wp:extent cx="387350" cy="38735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87350" cy="387350"/>
                          <a:chExt cx="387350" cy="387350"/>
                        </a:xfrm>
                      </wpg:grpSpPr>
                      <wps:wsp>
                        <wps:cNvPr id="13" name="Graphic 13"/>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5" name="Textbox 15"/>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6.97767pt;width:30.5pt;height:30.5pt;mso-position-horizontal-relative:page;mso-position-vertical-relative:paragraph;z-index:15730176" id="docshapegroup11" coordorigin="6300,140" coordsize="610,610">
                <v:shape style="position:absolute;left:6300;top:139;width:610;height:610" id="docshape12" coordorigin="6300,140" coordsize="610,610" path="m6871,140l6338,140,6323,143,6311,151,6303,163,6300,178,6300,711,6303,726,6311,738,6323,746,6338,749,6871,749,6886,746,6898,738,6906,726,6909,711,6909,178,6906,163,6898,151,6886,143,6871,140xe" filled="true" fillcolor="#000000" stroked="false">
                  <v:path arrowok="t"/>
                  <v:fill type="solid"/>
                </v:shape>
                <v:shape style="position:absolute;left:6350;top:190;width:508;height:508" id="docshape13" coordorigin="6351,190" coordsize="508,508" path="m6605,190l6537,199,6477,225,6425,265,6385,316,6360,377,6351,444,6360,512,6385,572,6425,624,6477,663,6537,689,6605,698,6672,689,6733,663,6784,624,6824,572,6849,512,6858,444,6849,377,6824,316,6784,265,6733,225,6672,199,6605,190xe" filled="true" fillcolor="#ffffff" stroked="false">
                  <v:path arrowok="t"/>
                  <v:fill type="solid"/>
                </v:shape>
                <v:shape style="position:absolute;left:6300;top:139;width:610;height:610" type="#_x0000_t202" id="docshape14"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sz w:val="20"/>
        </w:rPr>
        <w:t>Substitute</w:t>
      </w:r>
      <w:r>
        <w:rPr>
          <w:rFonts w:ascii="Arial"/>
          <w:i/>
          <w:spacing w:val="-14"/>
          <w:sz w:val="20"/>
        </w:rPr>
        <w:t> </w:t>
      </w:r>
      <w:r>
        <w:rPr>
          <w:rFonts w:ascii="Arial"/>
          <w:i/>
          <w:sz w:val="20"/>
        </w:rPr>
        <w:t>payments</w:t>
      </w:r>
      <w:r>
        <w:rPr>
          <w:rFonts w:ascii="Arial"/>
          <w:i/>
          <w:spacing w:val="-14"/>
          <w:sz w:val="20"/>
        </w:rPr>
        <w:t> </w:t>
      </w:r>
      <w:r>
        <w:rPr>
          <w:rFonts w:ascii="Arial"/>
          <w:i/>
          <w:sz w:val="20"/>
        </w:rPr>
        <w:t>in</w:t>
      </w:r>
      <w:r>
        <w:rPr>
          <w:rFonts w:ascii="Arial"/>
          <w:i/>
          <w:spacing w:val="-14"/>
          <w:sz w:val="20"/>
        </w:rPr>
        <w:t> </w:t>
      </w:r>
      <w:r>
        <w:rPr>
          <w:rFonts w:ascii="Arial"/>
          <w:i/>
          <w:sz w:val="20"/>
        </w:rPr>
        <w:t>lieu</w:t>
      </w:r>
      <w:r>
        <w:rPr>
          <w:rFonts w:ascii="Arial"/>
          <w:i/>
          <w:spacing w:val="-14"/>
          <w:sz w:val="20"/>
        </w:rPr>
        <w:t> </w:t>
      </w:r>
      <w:r>
        <w:rPr>
          <w:rFonts w:ascii="Arial"/>
          <w:i/>
          <w:sz w:val="20"/>
        </w:rPr>
        <w:t>of</w:t>
      </w:r>
      <w:r>
        <w:rPr>
          <w:rFonts w:ascii="Arial"/>
          <w:i/>
          <w:spacing w:val="-14"/>
          <w:sz w:val="20"/>
        </w:rPr>
        <w:t> </w:t>
      </w:r>
      <w:r>
        <w:rPr>
          <w:rFonts w:ascii="Arial"/>
          <w:i/>
          <w:sz w:val="20"/>
        </w:rPr>
        <w:t>dividends</w:t>
      </w:r>
      <w:r>
        <w:rPr>
          <w:rFonts w:ascii="Arial"/>
          <w:i/>
          <w:spacing w:val="-14"/>
          <w:sz w:val="20"/>
        </w:rPr>
        <w:t> </w:t>
      </w:r>
      <w:r>
        <w:rPr>
          <w:rFonts w:ascii="Arial"/>
          <w:i/>
          <w:sz w:val="20"/>
        </w:rPr>
        <w:t>may</w:t>
      </w:r>
      <w:r>
        <w:rPr>
          <w:rFonts w:ascii="Arial"/>
          <w:i/>
          <w:spacing w:val="-14"/>
          <w:sz w:val="20"/>
        </w:rPr>
        <w:t> </w:t>
      </w:r>
      <w:r>
        <w:rPr>
          <w:rFonts w:ascii="Arial"/>
          <w:i/>
          <w:sz w:val="20"/>
        </w:rPr>
        <w:t>be reported on a composite statement to the recipient with Form 1099-DIV. See </w:t>
      </w:r>
      <w:hyperlink r:id="rId13">
        <w:r>
          <w:rPr>
            <w:rFonts w:ascii="Arial"/>
            <w:i/>
            <w:color w:val="0056A2"/>
            <w:sz w:val="20"/>
            <w:u w:val="single" w:color="0055A1"/>
          </w:rPr>
          <w:t>Pub. 1179</w:t>
        </w:r>
      </w:hyperlink>
      <w:r>
        <w:rPr>
          <w:rFonts w:ascii="Arial"/>
          <w:i/>
          <w:sz w:val="20"/>
        </w:rPr>
        <w:t>.</w:t>
      </w:r>
    </w:p>
    <w:p>
      <w:pPr>
        <w:pStyle w:val="ListParagraph"/>
        <w:numPr>
          <w:ilvl w:val="0"/>
          <w:numId w:val="2"/>
        </w:numPr>
        <w:tabs>
          <w:tab w:pos="659" w:val="left" w:leader="none"/>
        </w:tabs>
        <w:spacing w:line="232" w:lineRule="auto" w:before="162" w:after="0"/>
        <w:ind w:left="120" w:right="213" w:firstLine="240"/>
        <w:jc w:val="left"/>
        <w:rPr>
          <w:sz w:val="20"/>
        </w:rPr>
      </w:pPr>
      <w:r>
        <w:rPr>
          <w:sz w:val="20"/>
        </w:rPr>
        <w:t>Payments</w:t>
      </w:r>
      <w:r>
        <w:rPr>
          <w:spacing w:val="-14"/>
          <w:sz w:val="20"/>
        </w:rPr>
        <w:t> </w:t>
      </w:r>
      <w:r>
        <w:rPr>
          <w:sz w:val="20"/>
        </w:rPr>
        <w:t>made</w:t>
      </w:r>
      <w:r>
        <w:rPr>
          <w:spacing w:val="-14"/>
          <w:sz w:val="20"/>
        </w:rPr>
        <w:t> </w:t>
      </w:r>
      <w:r>
        <w:rPr>
          <w:sz w:val="20"/>
        </w:rPr>
        <w:t>to</w:t>
      </w:r>
      <w:r>
        <w:rPr>
          <w:spacing w:val="-14"/>
          <w:sz w:val="20"/>
        </w:rPr>
        <w:t> </w:t>
      </w:r>
      <w:r>
        <w:rPr>
          <w:sz w:val="20"/>
        </w:rPr>
        <w:t>certain</w:t>
      </w:r>
      <w:r>
        <w:rPr>
          <w:spacing w:val="-14"/>
          <w:sz w:val="20"/>
        </w:rPr>
        <w:t> </w:t>
      </w:r>
      <w:r>
        <w:rPr>
          <w:sz w:val="20"/>
        </w:rPr>
        <w:t>payees.</w:t>
      </w:r>
      <w:r>
        <w:rPr>
          <w:spacing w:val="-14"/>
          <w:sz w:val="20"/>
        </w:rPr>
        <w:t> </w:t>
      </w:r>
      <w:r>
        <w:rPr>
          <w:sz w:val="20"/>
        </w:rPr>
        <w:t>These</w:t>
      </w:r>
      <w:r>
        <w:rPr>
          <w:spacing w:val="-14"/>
          <w:sz w:val="20"/>
        </w:rPr>
        <w:t> </w:t>
      </w:r>
      <w:r>
        <w:rPr>
          <w:sz w:val="20"/>
        </w:rPr>
        <w:t>include</w:t>
      </w:r>
      <w:r>
        <w:rPr>
          <w:spacing w:val="-14"/>
          <w:sz w:val="20"/>
        </w:rPr>
        <w:t> </w:t>
      </w:r>
      <w:r>
        <w:rPr>
          <w:sz w:val="20"/>
        </w:rPr>
        <w:t>a corporation, tax-exempt organization, IRA, Archer MSA, </w:t>
      </w:r>
      <w:r>
        <w:rPr>
          <w:spacing w:val="-2"/>
          <w:sz w:val="20"/>
        </w:rPr>
        <w:t>health</w:t>
      </w:r>
      <w:r>
        <w:rPr>
          <w:spacing w:val="-5"/>
          <w:sz w:val="20"/>
        </w:rPr>
        <w:t> </w:t>
      </w:r>
      <w:r>
        <w:rPr>
          <w:spacing w:val="-2"/>
          <w:sz w:val="20"/>
        </w:rPr>
        <w:t>savings</w:t>
      </w:r>
      <w:r>
        <w:rPr>
          <w:spacing w:val="-5"/>
          <w:sz w:val="20"/>
        </w:rPr>
        <w:t> </w:t>
      </w:r>
      <w:r>
        <w:rPr>
          <w:spacing w:val="-2"/>
          <w:sz w:val="20"/>
        </w:rPr>
        <w:t>account</w:t>
      </w:r>
      <w:r>
        <w:rPr>
          <w:spacing w:val="-5"/>
          <w:sz w:val="20"/>
        </w:rPr>
        <w:t> </w:t>
      </w:r>
      <w:r>
        <w:rPr>
          <w:spacing w:val="-2"/>
          <w:sz w:val="20"/>
        </w:rPr>
        <w:t>(HSA),</w:t>
      </w:r>
      <w:r>
        <w:rPr>
          <w:spacing w:val="-5"/>
          <w:sz w:val="20"/>
        </w:rPr>
        <w:t> </w:t>
      </w:r>
      <w:r>
        <w:rPr>
          <w:spacing w:val="-2"/>
          <w:sz w:val="20"/>
        </w:rPr>
        <w:t>U.S.</w:t>
      </w:r>
      <w:r>
        <w:rPr>
          <w:spacing w:val="-5"/>
          <w:sz w:val="20"/>
        </w:rPr>
        <w:t> </w:t>
      </w:r>
      <w:r>
        <w:rPr>
          <w:spacing w:val="-2"/>
          <w:sz w:val="20"/>
        </w:rPr>
        <w:t>agency,</w:t>
      </w:r>
      <w:r>
        <w:rPr>
          <w:spacing w:val="-5"/>
          <w:sz w:val="20"/>
        </w:rPr>
        <w:t> </w:t>
      </w:r>
      <w:r>
        <w:rPr>
          <w:spacing w:val="-2"/>
          <w:sz w:val="20"/>
        </w:rPr>
        <w:t>state,</w:t>
      </w:r>
      <w:r>
        <w:rPr>
          <w:spacing w:val="-5"/>
          <w:sz w:val="20"/>
        </w:rPr>
        <w:t> </w:t>
      </w:r>
      <w:r>
        <w:rPr>
          <w:spacing w:val="-2"/>
          <w:sz w:val="20"/>
        </w:rPr>
        <w:t>District </w:t>
      </w:r>
      <w:r>
        <w:rPr>
          <w:sz w:val="20"/>
        </w:rPr>
        <w:t>of</w:t>
      </w:r>
      <w:r>
        <w:rPr>
          <w:spacing w:val="-4"/>
          <w:sz w:val="20"/>
        </w:rPr>
        <w:t> </w:t>
      </w:r>
      <w:r>
        <w:rPr>
          <w:sz w:val="20"/>
        </w:rPr>
        <w:t>Columbia,</w:t>
      </w:r>
      <w:r>
        <w:rPr>
          <w:spacing w:val="-4"/>
          <w:sz w:val="20"/>
        </w:rPr>
        <w:t> </w:t>
      </w:r>
      <w:r>
        <w:rPr>
          <w:sz w:val="20"/>
        </w:rPr>
        <w:t>U.S.</w:t>
      </w:r>
      <w:r>
        <w:rPr>
          <w:spacing w:val="-4"/>
          <w:sz w:val="20"/>
        </w:rPr>
        <w:t> </w:t>
      </w:r>
      <w:r>
        <w:rPr>
          <w:sz w:val="20"/>
        </w:rPr>
        <w:t>possession,</w:t>
      </w:r>
      <w:r>
        <w:rPr>
          <w:spacing w:val="-4"/>
          <w:sz w:val="20"/>
        </w:rPr>
        <w:t> </w:t>
      </w:r>
      <w:r>
        <w:rPr>
          <w:sz w:val="20"/>
        </w:rPr>
        <w:t>or</w:t>
      </w:r>
      <w:r>
        <w:rPr>
          <w:spacing w:val="-4"/>
          <w:sz w:val="20"/>
        </w:rPr>
        <w:t> </w:t>
      </w:r>
      <w:r>
        <w:rPr>
          <w:sz w:val="20"/>
        </w:rPr>
        <w:t>registered</w:t>
      </w:r>
      <w:r>
        <w:rPr>
          <w:spacing w:val="-4"/>
          <w:sz w:val="20"/>
        </w:rPr>
        <w:t> </w:t>
      </w:r>
      <w:r>
        <w:rPr>
          <w:sz w:val="20"/>
        </w:rPr>
        <w:t>securities</w:t>
      </w:r>
      <w:r>
        <w:rPr>
          <w:spacing w:val="-4"/>
          <w:sz w:val="20"/>
        </w:rPr>
        <w:t> </w:t>
      </w:r>
      <w:r>
        <w:rPr>
          <w:sz w:val="20"/>
        </w:rPr>
        <w:t>or commodities dealer.</w:t>
      </w:r>
    </w:p>
    <w:p>
      <w:pPr>
        <w:spacing w:line="232" w:lineRule="auto" w:before="125"/>
        <w:ind w:left="816" w:right="581" w:firstLine="0"/>
        <w:jc w:val="both"/>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30688">
                <wp:simplePos x="0" y="0"/>
                <wp:positionH relativeFrom="page">
                  <wp:posOffset>4000500</wp:posOffset>
                </wp:positionH>
                <wp:positionV relativeFrom="paragraph">
                  <wp:posOffset>100905</wp:posOffset>
                </wp:positionV>
                <wp:extent cx="387350" cy="38735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387350" cy="387350"/>
                          <a:chExt cx="387350" cy="387350"/>
                        </a:xfrm>
                      </wpg:grpSpPr>
                      <wps:wsp>
                        <wps:cNvPr id="17" name="Graphic 17"/>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9" name="Textbox 19"/>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0" name="Textbox 20"/>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315pt;margin-top:7.945348pt;width:30.5pt;height:30.5pt;mso-position-horizontal-relative:page;mso-position-vertical-relative:paragraph;z-index:15730688" id="docshapegroup15" coordorigin="6300,159" coordsize="610,610">
                <v:shape style="position:absolute;left:6300;top:158;width:610;height:610" id="docshape16" coordorigin="6300,159" coordsize="610,610" path="m6871,159l6338,159,6323,162,6311,170,6303,182,6300,197,6300,730,6303,745,6311,757,6323,765,6338,768,6871,768,6886,765,6898,757,6906,745,6909,730,6909,197,6906,182,6898,170,6886,162,6871,159xe" filled="true" fillcolor="#000000" stroked="false">
                  <v:path arrowok="t"/>
                  <v:fill type="solid"/>
                </v:shape>
                <v:shape style="position:absolute;left:6367;top:226;width:474;height:407" id="docshape17" coordorigin="6368,227" coordsize="474,407" path="m6605,227l6368,633,6842,633,6605,227xe" filled="true" fillcolor="#ffffff" stroked="false">
                  <v:path arrowok="t"/>
                  <v:fill type="solid"/>
                </v:shape>
                <v:shape style="position:absolute;left:6328;top:629;width:563;height:131" type="#_x0000_t202" id="docshape18"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36;top:240;width:144;height:444" type="#_x0000_t202" id="docshape19"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hAnsi="Arial"/>
          <w:i/>
          <w:sz w:val="20"/>
        </w:rPr>
        <w:t>Certain</w:t>
      </w:r>
      <w:r>
        <w:rPr>
          <w:rFonts w:ascii="Arial" w:hAnsi="Arial"/>
          <w:i/>
          <w:spacing w:val="-14"/>
          <w:sz w:val="20"/>
        </w:rPr>
        <w:t> </w:t>
      </w:r>
      <w:r>
        <w:rPr>
          <w:rFonts w:ascii="Arial" w:hAnsi="Arial"/>
          <w:i/>
          <w:sz w:val="20"/>
        </w:rPr>
        <w:t>distributions</w:t>
      </w:r>
      <w:r>
        <w:rPr>
          <w:rFonts w:ascii="Arial" w:hAnsi="Arial"/>
          <w:i/>
          <w:spacing w:val="-14"/>
          <w:sz w:val="20"/>
        </w:rPr>
        <w:t> </w:t>
      </w:r>
      <w:r>
        <w:rPr>
          <w:rFonts w:ascii="Arial" w:hAnsi="Arial"/>
          <w:i/>
          <w:sz w:val="20"/>
        </w:rPr>
        <w:t>commonly</w:t>
      </w:r>
      <w:r>
        <w:rPr>
          <w:rFonts w:ascii="Arial" w:hAnsi="Arial"/>
          <w:i/>
          <w:spacing w:val="-14"/>
          <w:sz w:val="20"/>
        </w:rPr>
        <w:t> </w:t>
      </w:r>
      <w:r>
        <w:rPr>
          <w:rFonts w:ascii="Arial" w:hAnsi="Arial"/>
          <w:i/>
          <w:sz w:val="20"/>
        </w:rPr>
        <w:t>referred</w:t>
      </w:r>
      <w:r>
        <w:rPr>
          <w:rFonts w:ascii="Arial" w:hAnsi="Arial"/>
          <w:i/>
          <w:spacing w:val="-14"/>
          <w:sz w:val="20"/>
        </w:rPr>
        <w:t> </w:t>
      </w:r>
      <w:r>
        <w:rPr>
          <w:rFonts w:ascii="Arial" w:hAnsi="Arial"/>
          <w:i/>
          <w:sz w:val="20"/>
        </w:rPr>
        <w:t>to</w:t>
      </w:r>
      <w:r>
        <w:rPr>
          <w:rFonts w:ascii="Arial" w:hAnsi="Arial"/>
          <w:i/>
          <w:spacing w:val="-14"/>
          <w:sz w:val="20"/>
        </w:rPr>
        <w:t> </w:t>
      </w:r>
      <w:r>
        <w:rPr>
          <w:rFonts w:ascii="Arial" w:hAnsi="Arial"/>
          <w:i/>
          <w:sz w:val="20"/>
        </w:rPr>
        <w:t>as “dividends”</w:t>
      </w:r>
      <w:r>
        <w:rPr>
          <w:rFonts w:ascii="Arial" w:hAnsi="Arial"/>
          <w:i/>
          <w:spacing w:val="-14"/>
          <w:sz w:val="20"/>
        </w:rPr>
        <w:t> </w:t>
      </w:r>
      <w:r>
        <w:rPr>
          <w:rFonts w:ascii="Arial" w:hAnsi="Arial"/>
          <w:i/>
          <w:sz w:val="20"/>
        </w:rPr>
        <w:t>are</w:t>
      </w:r>
      <w:r>
        <w:rPr>
          <w:rFonts w:ascii="Arial" w:hAnsi="Arial"/>
          <w:i/>
          <w:spacing w:val="-14"/>
          <w:sz w:val="20"/>
        </w:rPr>
        <w:t> </w:t>
      </w:r>
      <w:r>
        <w:rPr>
          <w:rFonts w:ascii="Arial" w:hAnsi="Arial"/>
          <w:i/>
          <w:sz w:val="20"/>
        </w:rPr>
        <w:t>actually</w:t>
      </w:r>
      <w:r>
        <w:rPr>
          <w:rFonts w:ascii="Arial" w:hAnsi="Arial"/>
          <w:i/>
          <w:spacing w:val="-14"/>
          <w:sz w:val="20"/>
        </w:rPr>
        <w:t> </w:t>
      </w:r>
      <w:r>
        <w:rPr>
          <w:rFonts w:ascii="Arial" w:hAnsi="Arial"/>
          <w:i/>
          <w:sz w:val="20"/>
        </w:rPr>
        <w:t>interest</w:t>
      </w:r>
      <w:r>
        <w:rPr>
          <w:rFonts w:ascii="Arial" w:hAnsi="Arial"/>
          <w:i/>
          <w:spacing w:val="-14"/>
          <w:sz w:val="20"/>
        </w:rPr>
        <w:t> </w:t>
      </w:r>
      <w:r>
        <w:rPr>
          <w:rFonts w:ascii="Arial" w:hAnsi="Arial"/>
          <w:i/>
          <w:sz w:val="20"/>
        </w:rPr>
        <w:t>and</w:t>
      </w:r>
      <w:r>
        <w:rPr>
          <w:rFonts w:ascii="Arial" w:hAnsi="Arial"/>
          <w:i/>
          <w:spacing w:val="-14"/>
          <w:sz w:val="20"/>
        </w:rPr>
        <w:t> </w:t>
      </w:r>
      <w:r>
        <w:rPr>
          <w:rFonts w:ascii="Arial" w:hAnsi="Arial"/>
          <w:i/>
          <w:sz w:val="20"/>
        </w:rPr>
        <w:t>are</w:t>
      </w:r>
      <w:r>
        <w:rPr>
          <w:rFonts w:ascii="Arial" w:hAnsi="Arial"/>
          <w:i/>
          <w:spacing w:val="-14"/>
          <w:sz w:val="20"/>
        </w:rPr>
        <w:t> </w:t>
      </w:r>
      <w:r>
        <w:rPr>
          <w:rFonts w:ascii="Arial" w:hAnsi="Arial"/>
          <w:i/>
          <w:sz w:val="20"/>
        </w:rPr>
        <w:t>to</w:t>
      </w:r>
      <w:r>
        <w:rPr>
          <w:rFonts w:ascii="Arial" w:hAnsi="Arial"/>
          <w:i/>
          <w:spacing w:val="-14"/>
          <w:sz w:val="20"/>
        </w:rPr>
        <w:t> </w:t>
      </w:r>
      <w:r>
        <w:rPr>
          <w:rFonts w:ascii="Arial" w:hAnsi="Arial"/>
          <w:i/>
          <w:sz w:val="20"/>
        </w:rPr>
        <w:t>be reported on Form 1099-INT. These include</w:t>
      </w:r>
    </w:p>
    <w:p>
      <w:pPr>
        <w:spacing w:line="232" w:lineRule="auto" w:before="3"/>
        <w:ind w:left="120" w:right="0" w:firstLine="0"/>
        <w:jc w:val="left"/>
        <w:rPr>
          <w:rFonts w:ascii="Arial"/>
          <w:i/>
          <w:sz w:val="20"/>
        </w:rPr>
      </w:pPr>
      <w:r>
        <w:rPr>
          <w:rFonts w:ascii="Arial"/>
          <w:i/>
          <w:sz w:val="20"/>
        </w:rPr>
        <w:t>so-called dividends on deposit or on share accounts in cooperative banks, credit unions, domestic building and loan</w:t>
      </w:r>
      <w:r>
        <w:rPr>
          <w:rFonts w:ascii="Arial"/>
          <w:i/>
          <w:spacing w:val="-14"/>
          <w:sz w:val="20"/>
        </w:rPr>
        <w:t> </w:t>
      </w:r>
      <w:r>
        <w:rPr>
          <w:rFonts w:ascii="Arial"/>
          <w:i/>
          <w:sz w:val="20"/>
        </w:rPr>
        <w:t>associations,</w:t>
      </w:r>
      <w:r>
        <w:rPr>
          <w:rFonts w:ascii="Arial"/>
          <w:i/>
          <w:spacing w:val="-14"/>
          <w:sz w:val="20"/>
        </w:rPr>
        <w:t> </w:t>
      </w:r>
      <w:r>
        <w:rPr>
          <w:rFonts w:ascii="Arial"/>
          <w:i/>
          <w:sz w:val="20"/>
        </w:rPr>
        <w:t>domestic</w:t>
      </w:r>
      <w:r>
        <w:rPr>
          <w:rFonts w:ascii="Arial"/>
          <w:i/>
          <w:spacing w:val="-14"/>
          <w:sz w:val="20"/>
        </w:rPr>
        <w:t> </w:t>
      </w:r>
      <w:r>
        <w:rPr>
          <w:rFonts w:ascii="Arial"/>
          <w:i/>
          <w:sz w:val="20"/>
        </w:rPr>
        <w:t>and</w:t>
      </w:r>
      <w:r>
        <w:rPr>
          <w:rFonts w:ascii="Arial"/>
          <w:i/>
          <w:spacing w:val="-14"/>
          <w:sz w:val="20"/>
        </w:rPr>
        <w:t> </w:t>
      </w:r>
      <w:r>
        <w:rPr>
          <w:rFonts w:ascii="Arial"/>
          <w:i/>
          <w:sz w:val="20"/>
        </w:rPr>
        <w:t>federal</w:t>
      </w:r>
      <w:r>
        <w:rPr>
          <w:rFonts w:ascii="Arial"/>
          <w:i/>
          <w:spacing w:val="-14"/>
          <w:sz w:val="20"/>
        </w:rPr>
        <w:t> </w:t>
      </w:r>
      <w:r>
        <w:rPr>
          <w:rFonts w:ascii="Arial"/>
          <w:i/>
          <w:sz w:val="20"/>
        </w:rPr>
        <w:t>savings</w:t>
      </w:r>
      <w:r>
        <w:rPr>
          <w:rFonts w:ascii="Arial"/>
          <w:i/>
          <w:spacing w:val="-14"/>
          <w:sz w:val="20"/>
        </w:rPr>
        <w:t> </w:t>
      </w:r>
      <w:r>
        <w:rPr>
          <w:rFonts w:ascii="Arial"/>
          <w:i/>
          <w:sz w:val="20"/>
        </w:rPr>
        <w:t>and</w:t>
      </w:r>
      <w:r>
        <w:rPr>
          <w:rFonts w:ascii="Arial"/>
          <w:i/>
          <w:spacing w:val="-14"/>
          <w:sz w:val="20"/>
        </w:rPr>
        <w:t> </w:t>
      </w:r>
      <w:r>
        <w:rPr>
          <w:rFonts w:ascii="Arial"/>
          <w:i/>
          <w:sz w:val="20"/>
        </w:rPr>
        <w:t>loan associations, and mutual savings banks.</w:t>
      </w:r>
    </w:p>
    <w:p>
      <w:pPr>
        <w:spacing w:after="0" w:line="232" w:lineRule="auto"/>
        <w:jc w:val="left"/>
        <w:rPr>
          <w:rFonts w:ascii="Arial"/>
          <w:i/>
          <w:sz w:val="20"/>
        </w:rPr>
        <w:sectPr>
          <w:footerReference w:type="default" r:id="rId5"/>
          <w:footerReference w:type="even" r:id="rId6"/>
          <w:type w:val="continuous"/>
          <w:pgSz w:w="12240" w:h="15840"/>
          <w:pgMar w:header="0" w:footer="660" w:top="260" w:bottom="840" w:left="720" w:right="720"/>
          <w:pgNumType w:start="1"/>
          <w:cols w:num="2" w:equalWidth="0">
            <w:col w:w="5254" w:space="206"/>
            <w:col w:w="5340"/>
          </w:cols>
        </w:sectPr>
      </w:pPr>
    </w:p>
    <w:p>
      <w:pPr>
        <w:pStyle w:val="Heading2"/>
        <w:spacing w:before="101"/>
      </w:pPr>
      <w:bookmarkStart w:name="Qualified Dividends" w:id="8"/>
      <w:bookmarkEnd w:id="8"/>
      <w:r>
        <w:rPr/>
      </w:r>
      <w:bookmarkStart w:name="_bookmark1" w:id="9"/>
      <w:bookmarkEnd w:id="9"/>
      <w:r>
        <w:rPr/>
      </w:r>
      <w:r>
        <w:rPr>
          <w:w w:val="85"/>
        </w:rPr>
        <w:t>Qualified</w:t>
      </w:r>
      <w:r>
        <w:rPr>
          <w:spacing w:val="17"/>
        </w:rPr>
        <w:t> </w:t>
      </w:r>
      <w:r>
        <w:rPr>
          <w:spacing w:val="-2"/>
        </w:rPr>
        <w:t>Dividends</w:t>
      </w:r>
    </w:p>
    <w:p>
      <w:pPr>
        <w:pStyle w:val="BodyText"/>
        <w:spacing w:line="232" w:lineRule="auto" w:before="27"/>
        <w:ind w:left="119"/>
      </w:pPr>
      <w:r>
        <w:rPr/>
        <w:t>Except</w:t>
      </w:r>
      <w:r>
        <w:rPr>
          <w:spacing w:val="-14"/>
        </w:rPr>
        <w:t> </w:t>
      </w:r>
      <w:r>
        <w:rPr/>
        <w:t>as</w:t>
      </w:r>
      <w:r>
        <w:rPr>
          <w:spacing w:val="-14"/>
        </w:rPr>
        <w:t> </w:t>
      </w:r>
      <w:r>
        <w:rPr/>
        <w:t>provided</w:t>
      </w:r>
      <w:r>
        <w:rPr>
          <w:spacing w:val="-14"/>
        </w:rPr>
        <w:t> </w:t>
      </w:r>
      <w:r>
        <w:rPr/>
        <w:t>below,</w:t>
      </w:r>
      <w:r>
        <w:rPr>
          <w:spacing w:val="-14"/>
        </w:rPr>
        <w:t> </w:t>
      </w:r>
      <w:r>
        <w:rPr/>
        <w:t>qualified</w:t>
      </w:r>
      <w:r>
        <w:rPr>
          <w:spacing w:val="-14"/>
        </w:rPr>
        <w:t> </w:t>
      </w:r>
      <w:r>
        <w:rPr/>
        <w:t>dividends</w:t>
      </w:r>
      <w:r>
        <w:rPr>
          <w:spacing w:val="-14"/>
        </w:rPr>
        <w:t> </w:t>
      </w:r>
      <w:r>
        <w:rPr/>
        <w:t>are dividends</w:t>
      </w:r>
      <w:r>
        <w:rPr>
          <w:spacing w:val="-3"/>
        </w:rPr>
        <w:t> </w:t>
      </w:r>
      <w:r>
        <w:rPr/>
        <w:t>paid</w:t>
      </w:r>
      <w:r>
        <w:rPr>
          <w:spacing w:val="-3"/>
        </w:rPr>
        <w:t> </w:t>
      </w:r>
      <w:r>
        <w:rPr/>
        <w:t>during</w:t>
      </w:r>
      <w:r>
        <w:rPr>
          <w:spacing w:val="-3"/>
        </w:rPr>
        <w:t> </w:t>
      </w:r>
      <w:r>
        <w:rPr/>
        <w:t>the</w:t>
      </w:r>
      <w:r>
        <w:rPr>
          <w:spacing w:val="-3"/>
        </w:rPr>
        <w:t> </w:t>
      </w:r>
      <w:r>
        <w:rPr/>
        <w:t>tax</w:t>
      </w:r>
      <w:r>
        <w:rPr>
          <w:spacing w:val="-3"/>
        </w:rPr>
        <w:t> </w:t>
      </w:r>
      <w:r>
        <w:rPr/>
        <w:t>year</w:t>
      </w:r>
      <w:r>
        <w:rPr>
          <w:spacing w:val="-3"/>
        </w:rPr>
        <w:t> </w:t>
      </w:r>
      <w:r>
        <w:rPr/>
        <w:t>from</w:t>
      </w:r>
      <w:r>
        <w:rPr>
          <w:spacing w:val="-3"/>
        </w:rPr>
        <w:t> </w:t>
      </w:r>
      <w:r>
        <w:rPr/>
        <w:t>domestic corporations and qualified foreign corporations.</w:t>
      </w:r>
    </w:p>
    <w:p>
      <w:pPr>
        <w:pStyle w:val="BodyText"/>
        <w:spacing w:line="216" w:lineRule="auto" w:before="86"/>
      </w:pPr>
      <w:bookmarkStart w:name="_bookmark2" w:id="10"/>
      <w:bookmarkEnd w:id="10"/>
      <w:r>
        <w:rPr/>
      </w:r>
      <w:r>
        <w:rPr>
          <w:rFonts w:ascii="Arial Black"/>
          <w:spacing w:val="-4"/>
        </w:rPr>
        <w:t>Exceptions.</w:t>
      </w:r>
      <w:r>
        <w:rPr>
          <w:rFonts w:ascii="Arial Black"/>
          <w:spacing w:val="21"/>
        </w:rPr>
        <w:t> </w:t>
      </w:r>
      <w:r>
        <w:rPr>
          <w:spacing w:val="-4"/>
        </w:rPr>
        <w:t>The</w:t>
      </w:r>
      <w:r>
        <w:rPr>
          <w:spacing w:val="-10"/>
        </w:rPr>
        <w:t> </w:t>
      </w:r>
      <w:r>
        <w:rPr>
          <w:spacing w:val="-4"/>
        </w:rPr>
        <w:t>following</w:t>
      </w:r>
      <w:r>
        <w:rPr>
          <w:spacing w:val="-10"/>
        </w:rPr>
        <w:t> </w:t>
      </w:r>
      <w:r>
        <w:rPr>
          <w:spacing w:val="-4"/>
        </w:rPr>
        <w:t>dividends</w:t>
      </w:r>
      <w:r>
        <w:rPr>
          <w:spacing w:val="-10"/>
        </w:rPr>
        <w:t> </w:t>
      </w:r>
      <w:r>
        <w:rPr>
          <w:spacing w:val="-4"/>
        </w:rPr>
        <w:t>are</w:t>
      </w:r>
      <w:r>
        <w:rPr>
          <w:spacing w:val="-10"/>
        </w:rPr>
        <w:t> </w:t>
      </w:r>
      <w:r>
        <w:rPr>
          <w:spacing w:val="-4"/>
        </w:rPr>
        <w:t>not</w:t>
      </w:r>
      <w:r>
        <w:rPr>
          <w:spacing w:val="-10"/>
        </w:rPr>
        <w:t> </w:t>
      </w:r>
      <w:r>
        <w:rPr>
          <w:spacing w:val="-4"/>
        </w:rPr>
        <w:t>qualified </w:t>
      </w:r>
      <w:r>
        <w:rPr>
          <w:spacing w:val="-2"/>
        </w:rPr>
        <w:t>dividends.</w:t>
      </w:r>
    </w:p>
    <w:p>
      <w:pPr>
        <w:pStyle w:val="ListParagraph"/>
        <w:numPr>
          <w:ilvl w:val="0"/>
          <w:numId w:val="1"/>
        </w:numPr>
        <w:tabs>
          <w:tab w:pos="328" w:val="left" w:leader="none"/>
        </w:tabs>
        <w:spacing w:line="216" w:lineRule="auto" w:before="0" w:after="0"/>
        <w:ind w:left="119" w:right="174" w:firstLine="15"/>
        <w:jc w:val="left"/>
        <w:rPr>
          <w:sz w:val="20"/>
        </w:rPr>
      </w:pPr>
      <w:r>
        <w:rPr>
          <w:position w:val="1"/>
          <w:sz w:val="20"/>
        </w:rPr>
        <w:t>Dividends</w:t>
      </w:r>
      <w:r>
        <w:rPr>
          <w:spacing w:val="-13"/>
          <w:position w:val="1"/>
          <w:sz w:val="20"/>
        </w:rPr>
        <w:t> </w:t>
      </w:r>
      <w:r>
        <w:rPr>
          <w:position w:val="1"/>
          <w:sz w:val="20"/>
        </w:rPr>
        <w:t>the</w:t>
      </w:r>
      <w:r>
        <w:rPr>
          <w:spacing w:val="-13"/>
          <w:position w:val="1"/>
          <w:sz w:val="20"/>
        </w:rPr>
        <w:t> </w:t>
      </w:r>
      <w:r>
        <w:rPr>
          <w:position w:val="1"/>
          <w:sz w:val="20"/>
        </w:rPr>
        <w:t>recipient</w:t>
      </w:r>
      <w:r>
        <w:rPr>
          <w:spacing w:val="-13"/>
          <w:position w:val="1"/>
          <w:sz w:val="20"/>
        </w:rPr>
        <w:t> </w:t>
      </w:r>
      <w:r>
        <w:rPr>
          <w:position w:val="1"/>
          <w:sz w:val="20"/>
        </w:rPr>
        <w:t>received</w:t>
      </w:r>
      <w:r>
        <w:rPr>
          <w:spacing w:val="-13"/>
          <w:position w:val="1"/>
          <w:sz w:val="20"/>
        </w:rPr>
        <w:t> </w:t>
      </w:r>
      <w:r>
        <w:rPr>
          <w:position w:val="1"/>
          <w:sz w:val="20"/>
        </w:rPr>
        <w:t>on</w:t>
      </w:r>
      <w:r>
        <w:rPr>
          <w:spacing w:val="-13"/>
          <w:position w:val="1"/>
          <w:sz w:val="20"/>
        </w:rPr>
        <w:t> </w:t>
      </w:r>
      <w:r>
        <w:rPr>
          <w:position w:val="1"/>
          <w:sz w:val="20"/>
        </w:rPr>
        <w:t>any</w:t>
      </w:r>
      <w:r>
        <w:rPr>
          <w:spacing w:val="-13"/>
          <w:position w:val="1"/>
          <w:sz w:val="20"/>
        </w:rPr>
        <w:t> </w:t>
      </w:r>
      <w:r>
        <w:rPr>
          <w:position w:val="1"/>
          <w:sz w:val="20"/>
        </w:rPr>
        <w:t>share</w:t>
      </w:r>
      <w:r>
        <w:rPr>
          <w:spacing w:val="-13"/>
          <w:position w:val="1"/>
          <w:sz w:val="20"/>
        </w:rPr>
        <w:t> </w:t>
      </w:r>
      <w:r>
        <w:rPr>
          <w:position w:val="1"/>
          <w:sz w:val="20"/>
        </w:rPr>
        <w:t>of</w:t>
      </w:r>
      <w:r>
        <w:rPr>
          <w:spacing w:val="-13"/>
          <w:position w:val="1"/>
          <w:sz w:val="20"/>
        </w:rPr>
        <w:t> </w:t>
      </w:r>
      <w:r>
        <w:rPr>
          <w:position w:val="1"/>
          <w:sz w:val="20"/>
        </w:rPr>
        <w:t>stock </w:t>
      </w:r>
      <w:r>
        <w:rPr>
          <w:sz w:val="20"/>
        </w:rPr>
        <w:t>held</w:t>
      </w:r>
      <w:r>
        <w:rPr>
          <w:spacing w:val="-11"/>
          <w:sz w:val="20"/>
        </w:rPr>
        <w:t> </w:t>
      </w:r>
      <w:r>
        <w:rPr>
          <w:sz w:val="20"/>
        </w:rPr>
        <w:t>for</w:t>
      </w:r>
      <w:r>
        <w:rPr>
          <w:spacing w:val="-11"/>
          <w:sz w:val="20"/>
        </w:rPr>
        <w:t> </w:t>
      </w:r>
      <w:r>
        <w:rPr>
          <w:sz w:val="20"/>
        </w:rPr>
        <w:t>less</w:t>
      </w:r>
      <w:r>
        <w:rPr>
          <w:spacing w:val="-11"/>
          <w:sz w:val="20"/>
        </w:rPr>
        <w:t> </w:t>
      </w:r>
      <w:r>
        <w:rPr>
          <w:sz w:val="20"/>
        </w:rPr>
        <w:t>than</w:t>
      </w:r>
      <w:r>
        <w:rPr>
          <w:spacing w:val="-11"/>
          <w:sz w:val="20"/>
        </w:rPr>
        <w:t> </w:t>
      </w:r>
      <w:r>
        <w:rPr>
          <w:sz w:val="20"/>
        </w:rPr>
        <w:t>61</w:t>
      </w:r>
      <w:r>
        <w:rPr>
          <w:spacing w:val="-11"/>
          <w:sz w:val="20"/>
        </w:rPr>
        <w:t> </w:t>
      </w:r>
      <w:r>
        <w:rPr>
          <w:sz w:val="20"/>
        </w:rPr>
        <w:t>days</w:t>
      </w:r>
      <w:r>
        <w:rPr>
          <w:spacing w:val="-11"/>
          <w:sz w:val="20"/>
        </w:rPr>
        <w:t> </w:t>
      </w:r>
      <w:r>
        <w:rPr>
          <w:sz w:val="20"/>
        </w:rPr>
        <w:t>during</w:t>
      </w:r>
      <w:r>
        <w:rPr>
          <w:spacing w:val="-11"/>
          <w:sz w:val="20"/>
        </w:rPr>
        <w:t> </w:t>
      </w:r>
      <w:r>
        <w:rPr>
          <w:sz w:val="20"/>
        </w:rPr>
        <w:t>the</w:t>
      </w:r>
      <w:r>
        <w:rPr>
          <w:spacing w:val="-11"/>
          <w:sz w:val="20"/>
        </w:rPr>
        <w:t> </w:t>
      </w:r>
      <w:r>
        <w:rPr>
          <w:sz w:val="20"/>
        </w:rPr>
        <w:t>121-day</w:t>
      </w:r>
      <w:r>
        <w:rPr>
          <w:spacing w:val="-11"/>
          <w:sz w:val="20"/>
        </w:rPr>
        <w:t> </w:t>
      </w:r>
      <w:r>
        <w:rPr>
          <w:sz w:val="20"/>
        </w:rPr>
        <w:t>period</w:t>
      </w:r>
      <w:r>
        <w:rPr>
          <w:spacing w:val="-11"/>
          <w:sz w:val="20"/>
        </w:rPr>
        <w:t> </w:t>
      </w:r>
      <w:r>
        <w:rPr>
          <w:sz w:val="20"/>
        </w:rPr>
        <w:t>that</w:t>
      </w:r>
    </w:p>
    <w:p>
      <w:pPr>
        <w:pStyle w:val="BodyText"/>
        <w:spacing w:line="232" w:lineRule="auto"/>
        <w:ind w:left="119"/>
      </w:pPr>
      <w:r>
        <w:rPr/>
        <w:t>began 60 days before the ex-dividend date. See the instructions for </w:t>
      </w:r>
      <w:hyperlink w:history="true" w:anchor="_bookmark7">
        <w:r>
          <w:rPr>
            <w:color w:val="0056A2"/>
            <w:u w:val="single" w:color="0055A1"/>
          </w:rPr>
          <w:t>box 1b</w:t>
        </w:r>
      </w:hyperlink>
      <w:r>
        <w:rPr/>
        <w:t>, later. When determining the number of days the recipient held the stock, you cannot count</w:t>
      </w:r>
      <w:r>
        <w:rPr>
          <w:spacing w:val="-9"/>
        </w:rPr>
        <w:t> </w:t>
      </w:r>
      <w:r>
        <w:rPr/>
        <w:t>certain</w:t>
      </w:r>
      <w:r>
        <w:rPr>
          <w:spacing w:val="-9"/>
        </w:rPr>
        <w:t> </w:t>
      </w:r>
      <w:r>
        <w:rPr/>
        <w:t>days</w:t>
      </w:r>
      <w:r>
        <w:rPr>
          <w:spacing w:val="-9"/>
        </w:rPr>
        <w:t> </w:t>
      </w:r>
      <w:r>
        <w:rPr/>
        <w:t>during</w:t>
      </w:r>
      <w:r>
        <w:rPr>
          <w:spacing w:val="-9"/>
        </w:rPr>
        <w:t> </w:t>
      </w:r>
      <w:r>
        <w:rPr/>
        <w:t>which</w:t>
      </w:r>
      <w:r>
        <w:rPr>
          <w:spacing w:val="-9"/>
        </w:rPr>
        <w:t> </w:t>
      </w:r>
      <w:r>
        <w:rPr/>
        <w:t>the</w:t>
      </w:r>
      <w:r>
        <w:rPr>
          <w:spacing w:val="-9"/>
        </w:rPr>
        <w:t> </w:t>
      </w:r>
      <w:r>
        <w:rPr/>
        <w:t>recipient's</w:t>
      </w:r>
      <w:r>
        <w:rPr>
          <w:spacing w:val="-9"/>
        </w:rPr>
        <w:t> </w:t>
      </w:r>
      <w:r>
        <w:rPr/>
        <w:t>risk</w:t>
      </w:r>
      <w:r>
        <w:rPr>
          <w:spacing w:val="-9"/>
        </w:rPr>
        <w:t> </w:t>
      </w:r>
      <w:r>
        <w:rPr/>
        <w:t>of</w:t>
      </w:r>
      <w:r>
        <w:rPr>
          <w:spacing w:val="-9"/>
        </w:rPr>
        <w:t> </w:t>
      </w:r>
      <w:r>
        <w:rPr/>
        <w:t>loss was diminished. The ex-dividend date is the first date following the declaration of a dividend on which the purchaser of a stock is not entitled to receive the next dividend</w:t>
      </w:r>
      <w:r>
        <w:rPr>
          <w:spacing w:val="-14"/>
        </w:rPr>
        <w:t> </w:t>
      </w:r>
      <w:r>
        <w:rPr/>
        <w:t>payment.</w:t>
      </w:r>
      <w:r>
        <w:rPr>
          <w:spacing w:val="-14"/>
        </w:rPr>
        <w:t> </w:t>
      </w:r>
      <w:r>
        <w:rPr/>
        <w:t>When</w:t>
      </w:r>
      <w:r>
        <w:rPr>
          <w:spacing w:val="-13"/>
        </w:rPr>
        <w:t> </w:t>
      </w:r>
      <w:r>
        <w:rPr/>
        <w:t>counting</w:t>
      </w:r>
      <w:r>
        <w:rPr>
          <w:spacing w:val="-14"/>
        </w:rPr>
        <w:t> </w:t>
      </w:r>
      <w:r>
        <w:rPr/>
        <w:t>the</w:t>
      </w:r>
      <w:r>
        <w:rPr>
          <w:spacing w:val="-14"/>
        </w:rPr>
        <w:t> </w:t>
      </w:r>
      <w:r>
        <w:rPr/>
        <w:t>number</w:t>
      </w:r>
      <w:r>
        <w:rPr>
          <w:spacing w:val="-13"/>
        </w:rPr>
        <w:t> </w:t>
      </w:r>
      <w:r>
        <w:rPr/>
        <w:t>of</w:t>
      </w:r>
      <w:r>
        <w:rPr>
          <w:spacing w:val="-14"/>
        </w:rPr>
        <w:t> </w:t>
      </w:r>
      <w:r>
        <w:rPr/>
        <w:t>days</w:t>
      </w:r>
      <w:r>
        <w:rPr>
          <w:spacing w:val="-14"/>
        </w:rPr>
        <w:t> </w:t>
      </w:r>
      <w:r>
        <w:rPr/>
        <w:t>the recipient held the stock, include the day the recipient disposed of the stock but not the day the recipient acquired it.</w:t>
      </w:r>
    </w:p>
    <w:p>
      <w:pPr>
        <w:pStyle w:val="ListParagraph"/>
        <w:numPr>
          <w:ilvl w:val="0"/>
          <w:numId w:val="1"/>
        </w:numPr>
        <w:tabs>
          <w:tab w:pos="328" w:val="left" w:leader="none"/>
        </w:tabs>
        <w:spacing w:line="230" w:lineRule="auto" w:before="0" w:after="0"/>
        <w:ind w:left="119" w:right="50" w:firstLine="15"/>
        <w:jc w:val="left"/>
        <w:rPr>
          <w:sz w:val="20"/>
        </w:rPr>
      </w:pPr>
      <w:r>
        <w:rPr>
          <w:position w:val="1"/>
          <w:sz w:val="20"/>
        </w:rPr>
        <w:t>Dividends</w:t>
      </w:r>
      <w:r>
        <w:rPr>
          <w:spacing w:val="-14"/>
          <w:position w:val="1"/>
          <w:sz w:val="20"/>
        </w:rPr>
        <w:t> </w:t>
      </w:r>
      <w:r>
        <w:rPr>
          <w:position w:val="1"/>
          <w:sz w:val="20"/>
        </w:rPr>
        <w:t>attributable</w:t>
      </w:r>
      <w:r>
        <w:rPr>
          <w:spacing w:val="-13"/>
          <w:position w:val="1"/>
          <w:sz w:val="20"/>
        </w:rPr>
        <w:t> </w:t>
      </w:r>
      <w:r>
        <w:rPr>
          <w:position w:val="1"/>
          <w:sz w:val="20"/>
        </w:rPr>
        <w:t>to</w:t>
      </w:r>
      <w:r>
        <w:rPr>
          <w:spacing w:val="-14"/>
          <w:position w:val="1"/>
          <w:sz w:val="20"/>
        </w:rPr>
        <w:t> </w:t>
      </w:r>
      <w:r>
        <w:rPr>
          <w:position w:val="1"/>
          <w:sz w:val="20"/>
        </w:rPr>
        <w:t>periods</w:t>
      </w:r>
      <w:r>
        <w:rPr>
          <w:spacing w:val="-13"/>
          <w:position w:val="1"/>
          <w:sz w:val="20"/>
        </w:rPr>
        <w:t> </w:t>
      </w:r>
      <w:r>
        <w:rPr>
          <w:position w:val="1"/>
          <w:sz w:val="20"/>
        </w:rPr>
        <w:t>totaling</w:t>
      </w:r>
      <w:r>
        <w:rPr>
          <w:spacing w:val="-14"/>
          <w:position w:val="1"/>
          <w:sz w:val="20"/>
        </w:rPr>
        <w:t> </w:t>
      </w:r>
      <w:r>
        <w:rPr>
          <w:position w:val="1"/>
          <w:sz w:val="20"/>
        </w:rPr>
        <w:t>more</w:t>
      </w:r>
      <w:r>
        <w:rPr>
          <w:spacing w:val="-13"/>
          <w:position w:val="1"/>
          <w:sz w:val="20"/>
        </w:rPr>
        <w:t> </w:t>
      </w:r>
      <w:r>
        <w:rPr>
          <w:position w:val="1"/>
          <w:sz w:val="20"/>
        </w:rPr>
        <w:t>than</w:t>
      </w:r>
      <w:r>
        <w:rPr>
          <w:spacing w:val="-14"/>
          <w:position w:val="1"/>
          <w:sz w:val="20"/>
        </w:rPr>
        <w:t> </w:t>
      </w:r>
      <w:r>
        <w:rPr>
          <w:position w:val="1"/>
          <w:sz w:val="20"/>
        </w:rPr>
        <w:t>366 </w:t>
      </w:r>
      <w:r>
        <w:rPr>
          <w:sz w:val="20"/>
        </w:rPr>
        <w:t>days</w:t>
      </w:r>
      <w:r>
        <w:rPr>
          <w:spacing w:val="-6"/>
          <w:sz w:val="20"/>
        </w:rPr>
        <w:t> </w:t>
      </w:r>
      <w:r>
        <w:rPr>
          <w:sz w:val="20"/>
        </w:rPr>
        <w:t>that</w:t>
      </w:r>
      <w:r>
        <w:rPr>
          <w:spacing w:val="-6"/>
          <w:sz w:val="20"/>
        </w:rPr>
        <w:t> </w:t>
      </w:r>
      <w:r>
        <w:rPr>
          <w:sz w:val="20"/>
        </w:rPr>
        <w:t>the</w:t>
      </w:r>
      <w:r>
        <w:rPr>
          <w:spacing w:val="-6"/>
          <w:sz w:val="20"/>
        </w:rPr>
        <w:t> </w:t>
      </w:r>
      <w:r>
        <w:rPr>
          <w:sz w:val="20"/>
        </w:rPr>
        <w:t>recipient</w:t>
      </w:r>
      <w:r>
        <w:rPr>
          <w:spacing w:val="-6"/>
          <w:sz w:val="20"/>
        </w:rPr>
        <w:t> </w:t>
      </w:r>
      <w:r>
        <w:rPr>
          <w:sz w:val="20"/>
        </w:rPr>
        <w:t>received</w:t>
      </w:r>
      <w:r>
        <w:rPr>
          <w:spacing w:val="-6"/>
          <w:sz w:val="20"/>
        </w:rPr>
        <w:t> </w:t>
      </w:r>
      <w:r>
        <w:rPr>
          <w:sz w:val="20"/>
        </w:rPr>
        <w:t>on</w:t>
      </w:r>
      <w:r>
        <w:rPr>
          <w:spacing w:val="-6"/>
          <w:sz w:val="20"/>
        </w:rPr>
        <w:t> </w:t>
      </w:r>
      <w:r>
        <w:rPr>
          <w:sz w:val="20"/>
        </w:rPr>
        <w:t>any</w:t>
      </w:r>
      <w:r>
        <w:rPr>
          <w:spacing w:val="-6"/>
          <w:sz w:val="20"/>
        </w:rPr>
        <w:t> </w:t>
      </w:r>
      <w:r>
        <w:rPr>
          <w:sz w:val="20"/>
        </w:rPr>
        <w:t>share</w:t>
      </w:r>
      <w:r>
        <w:rPr>
          <w:spacing w:val="-6"/>
          <w:sz w:val="20"/>
        </w:rPr>
        <w:t> </w:t>
      </w:r>
      <w:r>
        <w:rPr>
          <w:sz w:val="20"/>
        </w:rPr>
        <w:t>of</w:t>
      </w:r>
      <w:r>
        <w:rPr>
          <w:spacing w:val="-6"/>
          <w:sz w:val="20"/>
        </w:rPr>
        <w:t> </w:t>
      </w:r>
      <w:r>
        <w:rPr>
          <w:sz w:val="20"/>
        </w:rPr>
        <w:t>preferred stock</w:t>
      </w:r>
      <w:r>
        <w:rPr>
          <w:spacing w:val="-12"/>
          <w:sz w:val="20"/>
        </w:rPr>
        <w:t> </w:t>
      </w:r>
      <w:r>
        <w:rPr>
          <w:sz w:val="20"/>
        </w:rPr>
        <w:t>held</w:t>
      </w:r>
      <w:r>
        <w:rPr>
          <w:spacing w:val="-12"/>
          <w:sz w:val="20"/>
        </w:rPr>
        <w:t> </w:t>
      </w:r>
      <w:r>
        <w:rPr>
          <w:sz w:val="20"/>
        </w:rPr>
        <w:t>for</w:t>
      </w:r>
      <w:r>
        <w:rPr>
          <w:spacing w:val="-12"/>
          <w:sz w:val="20"/>
        </w:rPr>
        <w:t> </w:t>
      </w:r>
      <w:r>
        <w:rPr>
          <w:sz w:val="20"/>
        </w:rPr>
        <w:t>less</w:t>
      </w:r>
      <w:r>
        <w:rPr>
          <w:spacing w:val="-12"/>
          <w:sz w:val="20"/>
        </w:rPr>
        <w:t> </w:t>
      </w:r>
      <w:r>
        <w:rPr>
          <w:sz w:val="20"/>
        </w:rPr>
        <w:t>than</w:t>
      </w:r>
      <w:r>
        <w:rPr>
          <w:spacing w:val="-12"/>
          <w:sz w:val="20"/>
        </w:rPr>
        <w:t> </w:t>
      </w:r>
      <w:r>
        <w:rPr>
          <w:sz w:val="20"/>
        </w:rPr>
        <w:t>91</w:t>
      </w:r>
      <w:r>
        <w:rPr>
          <w:spacing w:val="-12"/>
          <w:sz w:val="20"/>
        </w:rPr>
        <w:t> </w:t>
      </w:r>
      <w:r>
        <w:rPr>
          <w:sz w:val="20"/>
        </w:rPr>
        <w:t>days</w:t>
      </w:r>
      <w:r>
        <w:rPr>
          <w:spacing w:val="-12"/>
          <w:sz w:val="20"/>
        </w:rPr>
        <w:t> </w:t>
      </w:r>
      <w:r>
        <w:rPr>
          <w:sz w:val="20"/>
        </w:rPr>
        <w:t>during</w:t>
      </w:r>
      <w:r>
        <w:rPr>
          <w:spacing w:val="-12"/>
          <w:sz w:val="20"/>
        </w:rPr>
        <w:t> </w:t>
      </w:r>
      <w:r>
        <w:rPr>
          <w:sz w:val="20"/>
        </w:rPr>
        <w:t>the</w:t>
      </w:r>
      <w:r>
        <w:rPr>
          <w:spacing w:val="-12"/>
          <w:sz w:val="20"/>
        </w:rPr>
        <w:t> </w:t>
      </w:r>
      <w:r>
        <w:rPr>
          <w:sz w:val="20"/>
        </w:rPr>
        <w:t>181-day</w:t>
      </w:r>
      <w:r>
        <w:rPr>
          <w:spacing w:val="-12"/>
          <w:sz w:val="20"/>
        </w:rPr>
        <w:t> </w:t>
      </w:r>
      <w:r>
        <w:rPr>
          <w:sz w:val="20"/>
        </w:rPr>
        <w:t>period </w:t>
      </w:r>
      <w:bookmarkStart w:name="Section 404(k) Dividends" w:id="11"/>
      <w:bookmarkEnd w:id="11"/>
      <w:r>
        <w:rPr>
          <w:sz w:val="20"/>
        </w:rPr>
      </w:r>
      <w:bookmarkStart w:name="_bookmark3" w:id="12"/>
      <w:bookmarkEnd w:id="12"/>
      <w:r>
        <w:rPr>
          <w:sz w:val="20"/>
        </w:rPr>
        <w:t>that</w:t>
      </w:r>
      <w:r>
        <w:rPr>
          <w:sz w:val="20"/>
        </w:rPr>
        <w:t> began 90 days before the ex-dividend date. See the instructions for </w:t>
      </w:r>
      <w:hyperlink w:history="true" w:anchor="_bookmark7">
        <w:r>
          <w:rPr>
            <w:color w:val="0056A2"/>
            <w:sz w:val="20"/>
            <w:u w:val="single" w:color="0055A1"/>
          </w:rPr>
          <w:t>box 1b</w:t>
        </w:r>
      </w:hyperlink>
      <w:r>
        <w:rPr>
          <w:sz w:val="20"/>
        </w:rPr>
        <w:t>, later. When determining the number of days the recipient held the stock, you cannot count</w:t>
      </w:r>
      <w:r>
        <w:rPr>
          <w:spacing w:val="-8"/>
          <w:sz w:val="20"/>
        </w:rPr>
        <w:t> </w:t>
      </w:r>
      <w:r>
        <w:rPr>
          <w:sz w:val="20"/>
        </w:rPr>
        <w:t>certain</w:t>
      </w:r>
      <w:r>
        <w:rPr>
          <w:spacing w:val="-8"/>
          <w:sz w:val="20"/>
        </w:rPr>
        <w:t> </w:t>
      </w:r>
      <w:r>
        <w:rPr>
          <w:sz w:val="20"/>
        </w:rPr>
        <w:t>days</w:t>
      </w:r>
      <w:r>
        <w:rPr>
          <w:spacing w:val="-8"/>
          <w:sz w:val="20"/>
        </w:rPr>
        <w:t> </w:t>
      </w:r>
      <w:r>
        <w:rPr>
          <w:sz w:val="20"/>
        </w:rPr>
        <w:t>during</w:t>
      </w:r>
      <w:r>
        <w:rPr>
          <w:spacing w:val="-8"/>
          <w:sz w:val="20"/>
        </w:rPr>
        <w:t> </w:t>
      </w:r>
      <w:r>
        <w:rPr>
          <w:sz w:val="20"/>
        </w:rPr>
        <w:t>which</w:t>
      </w:r>
      <w:r>
        <w:rPr>
          <w:spacing w:val="-8"/>
          <w:sz w:val="20"/>
        </w:rPr>
        <w:t> </w:t>
      </w:r>
      <w:r>
        <w:rPr>
          <w:sz w:val="20"/>
        </w:rPr>
        <w:t>the</w:t>
      </w:r>
      <w:r>
        <w:rPr>
          <w:spacing w:val="-8"/>
          <w:sz w:val="20"/>
        </w:rPr>
        <w:t> </w:t>
      </w:r>
      <w:r>
        <w:rPr>
          <w:sz w:val="20"/>
        </w:rPr>
        <w:t>recipient's</w:t>
      </w:r>
      <w:r>
        <w:rPr>
          <w:spacing w:val="-8"/>
          <w:sz w:val="20"/>
        </w:rPr>
        <w:t> </w:t>
      </w:r>
      <w:r>
        <w:rPr>
          <w:sz w:val="20"/>
        </w:rPr>
        <w:t>risk</w:t>
      </w:r>
      <w:r>
        <w:rPr>
          <w:spacing w:val="-8"/>
          <w:sz w:val="20"/>
        </w:rPr>
        <w:t> </w:t>
      </w:r>
      <w:r>
        <w:rPr>
          <w:sz w:val="20"/>
        </w:rPr>
        <w:t>of</w:t>
      </w:r>
      <w:r>
        <w:rPr>
          <w:spacing w:val="-8"/>
          <w:sz w:val="20"/>
        </w:rPr>
        <w:t> </w:t>
      </w:r>
      <w:r>
        <w:rPr>
          <w:sz w:val="20"/>
        </w:rPr>
        <w:t>loss was diminished. Preferred dividends attributable to periods totaling less than 367 days are subject to the</w:t>
      </w:r>
    </w:p>
    <w:p>
      <w:pPr>
        <w:pStyle w:val="BodyText"/>
        <w:spacing w:line="213" w:lineRule="exact"/>
        <w:ind w:left="119"/>
      </w:pPr>
      <w:r>
        <w:rPr/>
        <w:t>61-day</w:t>
      </w:r>
      <w:r>
        <w:rPr>
          <w:spacing w:val="-14"/>
        </w:rPr>
        <w:t> </w:t>
      </w:r>
      <w:r>
        <w:rPr/>
        <w:t>holding</w:t>
      </w:r>
      <w:r>
        <w:rPr>
          <w:spacing w:val="-13"/>
        </w:rPr>
        <w:t> </w:t>
      </w:r>
      <w:r>
        <w:rPr/>
        <w:t>period</w:t>
      </w:r>
      <w:r>
        <w:rPr>
          <w:spacing w:val="-13"/>
        </w:rPr>
        <w:t> </w:t>
      </w:r>
      <w:r>
        <w:rPr/>
        <w:t>rule</w:t>
      </w:r>
      <w:r>
        <w:rPr>
          <w:spacing w:val="-13"/>
        </w:rPr>
        <w:t> </w:t>
      </w:r>
      <w:r>
        <w:rPr>
          <w:spacing w:val="-2"/>
        </w:rPr>
        <w:t>above.</w:t>
      </w:r>
    </w:p>
    <w:p>
      <w:pPr>
        <w:pStyle w:val="ListParagraph"/>
        <w:numPr>
          <w:ilvl w:val="0"/>
          <w:numId w:val="1"/>
        </w:numPr>
        <w:tabs>
          <w:tab w:pos="329" w:val="left" w:leader="none"/>
        </w:tabs>
        <w:spacing w:line="225" w:lineRule="auto" w:before="0" w:after="0"/>
        <w:ind w:left="120" w:right="147" w:firstLine="15"/>
        <w:jc w:val="left"/>
        <w:rPr>
          <w:sz w:val="20"/>
        </w:rPr>
      </w:pPr>
      <w:r>
        <w:rPr>
          <w:position w:val="1"/>
          <w:sz w:val="20"/>
        </w:rPr>
        <w:t>Dividends that relate to payments that the recipient is </w:t>
      </w:r>
      <w:r>
        <w:rPr>
          <w:sz w:val="20"/>
        </w:rPr>
        <w:t>obligated</w:t>
      </w:r>
      <w:r>
        <w:rPr>
          <w:spacing w:val="-12"/>
          <w:sz w:val="20"/>
        </w:rPr>
        <w:t> </w:t>
      </w:r>
      <w:r>
        <w:rPr>
          <w:sz w:val="20"/>
        </w:rPr>
        <w:t>to</w:t>
      </w:r>
      <w:r>
        <w:rPr>
          <w:spacing w:val="-12"/>
          <w:sz w:val="20"/>
        </w:rPr>
        <w:t> </w:t>
      </w:r>
      <w:r>
        <w:rPr>
          <w:sz w:val="20"/>
        </w:rPr>
        <w:t>make</w:t>
      </w:r>
      <w:r>
        <w:rPr>
          <w:spacing w:val="-12"/>
          <w:sz w:val="20"/>
        </w:rPr>
        <w:t> </w:t>
      </w:r>
      <w:r>
        <w:rPr>
          <w:sz w:val="20"/>
        </w:rPr>
        <w:t>with</w:t>
      </w:r>
      <w:r>
        <w:rPr>
          <w:spacing w:val="-12"/>
          <w:sz w:val="20"/>
        </w:rPr>
        <w:t> </w:t>
      </w:r>
      <w:r>
        <w:rPr>
          <w:sz w:val="20"/>
        </w:rPr>
        <w:t>respect</w:t>
      </w:r>
      <w:r>
        <w:rPr>
          <w:spacing w:val="-12"/>
          <w:sz w:val="20"/>
        </w:rPr>
        <w:t> </w:t>
      </w:r>
      <w:r>
        <w:rPr>
          <w:sz w:val="20"/>
        </w:rPr>
        <w:t>to</w:t>
      </w:r>
      <w:r>
        <w:rPr>
          <w:spacing w:val="-12"/>
          <w:sz w:val="20"/>
        </w:rPr>
        <w:t> </w:t>
      </w:r>
      <w:r>
        <w:rPr>
          <w:sz w:val="20"/>
        </w:rPr>
        <w:t>short</w:t>
      </w:r>
      <w:r>
        <w:rPr>
          <w:spacing w:val="-12"/>
          <w:sz w:val="20"/>
        </w:rPr>
        <w:t> </w:t>
      </w:r>
      <w:r>
        <w:rPr>
          <w:sz w:val="20"/>
        </w:rPr>
        <w:t>sales</w:t>
      </w:r>
      <w:r>
        <w:rPr>
          <w:spacing w:val="-12"/>
          <w:sz w:val="20"/>
        </w:rPr>
        <w:t> </w:t>
      </w:r>
      <w:r>
        <w:rPr>
          <w:sz w:val="20"/>
        </w:rPr>
        <w:t>or</w:t>
      </w:r>
      <w:r>
        <w:rPr>
          <w:spacing w:val="-12"/>
          <w:sz w:val="20"/>
        </w:rPr>
        <w:t> </w:t>
      </w:r>
      <w:r>
        <w:rPr>
          <w:sz w:val="20"/>
        </w:rPr>
        <w:t>positions in substantially similar or related property.</w:t>
      </w:r>
    </w:p>
    <w:p>
      <w:pPr>
        <w:pStyle w:val="ListParagraph"/>
        <w:numPr>
          <w:ilvl w:val="0"/>
          <w:numId w:val="1"/>
        </w:numPr>
        <w:tabs>
          <w:tab w:pos="328" w:val="left" w:leader="none"/>
        </w:tabs>
        <w:spacing w:line="216" w:lineRule="auto" w:before="0" w:after="0"/>
        <w:ind w:left="119" w:right="381" w:firstLine="15"/>
        <w:jc w:val="left"/>
        <w:rPr>
          <w:sz w:val="20"/>
        </w:rPr>
      </w:pPr>
      <w:bookmarkStart w:name="RICs and REITs" w:id="13"/>
      <w:bookmarkEnd w:id="13"/>
      <w:r>
        <w:rPr/>
      </w:r>
      <w:r>
        <w:rPr>
          <w:position w:val="1"/>
          <w:sz w:val="20"/>
        </w:rPr>
        <w:t>Dividends</w:t>
      </w:r>
      <w:r>
        <w:rPr>
          <w:spacing w:val="-8"/>
          <w:position w:val="1"/>
          <w:sz w:val="20"/>
        </w:rPr>
        <w:t> </w:t>
      </w:r>
      <w:r>
        <w:rPr>
          <w:position w:val="1"/>
          <w:sz w:val="20"/>
        </w:rPr>
        <w:t>paid</w:t>
      </w:r>
      <w:r>
        <w:rPr>
          <w:spacing w:val="-8"/>
          <w:position w:val="1"/>
          <w:sz w:val="20"/>
        </w:rPr>
        <w:t> </w:t>
      </w:r>
      <w:r>
        <w:rPr>
          <w:position w:val="1"/>
          <w:sz w:val="20"/>
        </w:rPr>
        <w:t>by</w:t>
      </w:r>
      <w:r>
        <w:rPr>
          <w:spacing w:val="-8"/>
          <w:position w:val="1"/>
          <w:sz w:val="20"/>
        </w:rPr>
        <w:t> </w:t>
      </w:r>
      <w:r>
        <w:rPr>
          <w:position w:val="1"/>
          <w:sz w:val="20"/>
        </w:rPr>
        <w:t>a</w:t>
      </w:r>
      <w:r>
        <w:rPr>
          <w:spacing w:val="-8"/>
          <w:position w:val="1"/>
          <w:sz w:val="20"/>
        </w:rPr>
        <w:t> </w:t>
      </w:r>
      <w:r>
        <w:rPr>
          <w:position w:val="1"/>
          <w:sz w:val="20"/>
        </w:rPr>
        <w:t>regulated</w:t>
      </w:r>
      <w:r>
        <w:rPr>
          <w:spacing w:val="-8"/>
          <w:position w:val="1"/>
          <w:sz w:val="20"/>
        </w:rPr>
        <w:t> </w:t>
      </w:r>
      <w:r>
        <w:rPr>
          <w:position w:val="1"/>
          <w:sz w:val="20"/>
        </w:rPr>
        <w:t>investment</w:t>
      </w:r>
      <w:r>
        <w:rPr>
          <w:spacing w:val="-8"/>
          <w:position w:val="1"/>
          <w:sz w:val="20"/>
        </w:rPr>
        <w:t> </w:t>
      </w:r>
      <w:r>
        <w:rPr>
          <w:position w:val="1"/>
          <w:sz w:val="20"/>
        </w:rPr>
        <w:t>company </w:t>
      </w:r>
      <w:r>
        <w:rPr>
          <w:sz w:val="20"/>
        </w:rPr>
        <w:t>(RIC)</w:t>
      </w:r>
      <w:r>
        <w:rPr>
          <w:spacing w:val="-13"/>
          <w:sz w:val="20"/>
        </w:rPr>
        <w:t> </w:t>
      </w:r>
      <w:r>
        <w:rPr>
          <w:sz w:val="20"/>
        </w:rPr>
        <w:t>that</w:t>
      </w:r>
      <w:r>
        <w:rPr>
          <w:spacing w:val="-13"/>
          <w:sz w:val="20"/>
        </w:rPr>
        <w:t> </w:t>
      </w:r>
      <w:r>
        <w:rPr>
          <w:sz w:val="20"/>
        </w:rPr>
        <w:t>are</w:t>
      </w:r>
      <w:r>
        <w:rPr>
          <w:spacing w:val="-13"/>
          <w:sz w:val="20"/>
        </w:rPr>
        <w:t> </w:t>
      </w:r>
      <w:r>
        <w:rPr>
          <w:sz w:val="20"/>
        </w:rPr>
        <w:t>not</w:t>
      </w:r>
      <w:r>
        <w:rPr>
          <w:spacing w:val="-13"/>
          <w:sz w:val="20"/>
        </w:rPr>
        <w:t> </w:t>
      </w:r>
      <w:r>
        <w:rPr>
          <w:sz w:val="20"/>
        </w:rPr>
        <w:t>treated</w:t>
      </w:r>
      <w:r>
        <w:rPr>
          <w:spacing w:val="-13"/>
          <w:sz w:val="20"/>
        </w:rPr>
        <w:t> </w:t>
      </w:r>
      <w:r>
        <w:rPr>
          <w:sz w:val="20"/>
        </w:rPr>
        <w:t>as</w:t>
      </w:r>
      <w:r>
        <w:rPr>
          <w:spacing w:val="-13"/>
          <w:sz w:val="20"/>
        </w:rPr>
        <w:t> </w:t>
      </w:r>
      <w:r>
        <w:rPr>
          <w:sz w:val="20"/>
        </w:rPr>
        <w:t>qualified</w:t>
      </w:r>
      <w:r>
        <w:rPr>
          <w:spacing w:val="-13"/>
          <w:sz w:val="20"/>
        </w:rPr>
        <w:t> </w:t>
      </w:r>
      <w:r>
        <w:rPr>
          <w:sz w:val="20"/>
        </w:rPr>
        <w:t>dividend</w:t>
      </w:r>
      <w:r>
        <w:rPr>
          <w:spacing w:val="-13"/>
          <w:sz w:val="20"/>
        </w:rPr>
        <w:t> </w:t>
      </w:r>
      <w:r>
        <w:rPr>
          <w:sz w:val="20"/>
        </w:rPr>
        <w:t>income</w:t>
      </w:r>
    </w:p>
    <w:p>
      <w:pPr>
        <w:pStyle w:val="BodyText"/>
        <w:spacing w:line="211" w:lineRule="exact"/>
        <w:ind w:left="119"/>
      </w:pPr>
      <w:r>
        <w:rPr/>
        <w:t>under</w:t>
      </w:r>
      <w:r>
        <w:rPr>
          <w:spacing w:val="-10"/>
        </w:rPr>
        <w:t> </w:t>
      </w:r>
      <w:r>
        <w:rPr/>
        <w:t>section</w:t>
      </w:r>
      <w:r>
        <w:rPr>
          <w:spacing w:val="-10"/>
        </w:rPr>
        <w:t> </w:t>
      </w:r>
      <w:r>
        <w:rPr>
          <w:spacing w:val="-4"/>
        </w:rPr>
        <w:t>854.</w:t>
      </w:r>
    </w:p>
    <w:p>
      <w:pPr>
        <w:pStyle w:val="ListParagraph"/>
        <w:numPr>
          <w:ilvl w:val="0"/>
          <w:numId w:val="1"/>
        </w:numPr>
        <w:tabs>
          <w:tab w:pos="329" w:val="left" w:leader="none"/>
        </w:tabs>
        <w:spacing w:line="225" w:lineRule="auto" w:before="0" w:after="0"/>
        <w:ind w:left="120" w:right="139" w:firstLine="15"/>
        <w:jc w:val="left"/>
        <w:rPr>
          <w:sz w:val="20"/>
        </w:rPr>
      </w:pPr>
      <w:r>
        <w:rPr>
          <w:position w:val="1"/>
          <w:sz w:val="20"/>
        </w:rPr>
        <w:t>Dividends</w:t>
      </w:r>
      <w:r>
        <w:rPr>
          <w:spacing w:val="-14"/>
          <w:position w:val="1"/>
          <w:sz w:val="20"/>
        </w:rPr>
        <w:t> </w:t>
      </w:r>
      <w:r>
        <w:rPr>
          <w:position w:val="1"/>
          <w:sz w:val="20"/>
        </w:rPr>
        <w:t>paid</w:t>
      </w:r>
      <w:r>
        <w:rPr>
          <w:spacing w:val="-14"/>
          <w:position w:val="1"/>
          <w:sz w:val="20"/>
        </w:rPr>
        <w:t> </w:t>
      </w:r>
      <w:r>
        <w:rPr>
          <w:position w:val="1"/>
          <w:sz w:val="20"/>
        </w:rPr>
        <w:t>by</w:t>
      </w:r>
      <w:r>
        <w:rPr>
          <w:spacing w:val="-14"/>
          <w:position w:val="1"/>
          <w:sz w:val="20"/>
        </w:rPr>
        <w:t> </w:t>
      </w:r>
      <w:r>
        <w:rPr>
          <w:position w:val="1"/>
          <w:sz w:val="20"/>
        </w:rPr>
        <w:t>a</w:t>
      </w:r>
      <w:r>
        <w:rPr>
          <w:spacing w:val="-14"/>
          <w:position w:val="1"/>
          <w:sz w:val="20"/>
        </w:rPr>
        <w:t> </w:t>
      </w:r>
      <w:r>
        <w:rPr>
          <w:position w:val="1"/>
          <w:sz w:val="20"/>
        </w:rPr>
        <w:t>real</w:t>
      </w:r>
      <w:r>
        <w:rPr>
          <w:spacing w:val="-14"/>
          <w:position w:val="1"/>
          <w:sz w:val="20"/>
        </w:rPr>
        <w:t> </w:t>
      </w:r>
      <w:r>
        <w:rPr>
          <w:position w:val="1"/>
          <w:sz w:val="20"/>
        </w:rPr>
        <w:t>estate</w:t>
      </w:r>
      <w:r>
        <w:rPr>
          <w:spacing w:val="-14"/>
          <w:position w:val="1"/>
          <w:sz w:val="20"/>
        </w:rPr>
        <w:t> </w:t>
      </w:r>
      <w:r>
        <w:rPr>
          <w:position w:val="1"/>
          <w:sz w:val="20"/>
        </w:rPr>
        <w:t>investment</w:t>
      </w:r>
      <w:r>
        <w:rPr>
          <w:spacing w:val="-14"/>
          <w:position w:val="1"/>
          <w:sz w:val="20"/>
        </w:rPr>
        <w:t> </w:t>
      </w:r>
      <w:r>
        <w:rPr>
          <w:position w:val="1"/>
          <w:sz w:val="20"/>
        </w:rPr>
        <w:t>trust</w:t>
      </w:r>
      <w:r>
        <w:rPr>
          <w:spacing w:val="-14"/>
          <w:position w:val="1"/>
          <w:sz w:val="20"/>
        </w:rPr>
        <w:t> </w:t>
      </w:r>
      <w:r>
        <w:rPr>
          <w:position w:val="1"/>
          <w:sz w:val="20"/>
        </w:rPr>
        <w:t>(REIT) </w:t>
      </w:r>
      <w:r>
        <w:rPr>
          <w:sz w:val="20"/>
        </w:rPr>
        <w:t>that are not treated as qualified dividend income under section 857(c).</w:t>
      </w:r>
    </w:p>
    <w:p>
      <w:pPr>
        <w:pStyle w:val="ListParagraph"/>
        <w:numPr>
          <w:ilvl w:val="0"/>
          <w:numId w:val="1"/>
        </w:numPr>
        <w:tabs>
          <w:tab w:pos="329" w:val="left" w:leader="none"/>
        </w:tabs>
        <w:spacing w:line="231" w:lineRule="exact" w:before="0" w:after="0"/>
        <w:ind w:left="329" w:right="0" w:hanging="194"/>
        <w:jc w:val="left"/>
        <w:rPr>
          <w:position w:val="1"/>
          <w:sz w:val="20"/>
        </w:rPr>
      </w:pPr>
      <w:r>
        <w:rPr>
          <w:position w:val="1"/>
          <w:sz w:val="20"/>
        </w:rPr>
        <w:t>Deductible</w:t>
      </w:r>
      <w:r>
        <w:rPr>
          <w:spacing w:val="-14"/>
          <w:position w:val="1"/>
          <w:sz w:val="20"/>
        </w:rPr>
        <w:t> </w:t>
      </w:r>
      <w:r>
        <w:rPr>
          <w:position w:val="1"/>
          <w:sz w:val="20"/>
        </w:rPr>
        <w:t>dividends</w:t>
      </w:r>
      <w:r>
        <w:rPr>
          <w:spacing w:val="-14"/>
          <w:position w:val="1"/>
          <w:sz w:val="20"/>
        </w:rPr>
        <w:t> </w:t>
      </w:r>
      <w:r>
        <w:rPr>
          <w:position w:val="1"/>
          <w:sz w:val="20"/>
        </w:rPr>
        <w:t>paid</w:t>
      </w:r>
      <w:r>
        <w:rPr>
          <w:spacing w:val="-14"/>
          <w:position w:val="1"/>
          <w:sz w:val="20"/>
        </w:rPr>
        <w:t> </w:t>
      </w:r>
      <w:r>
        <w:rPr>
          <w:position w:val="1"/>
          <w:sz w:val="20"/>
        </w:rPr>
        <w:t>on</w:t>
      </w:r>
      <w:r>
        <w:rPr>
          <w:spacing w:val="-13"/>
          <w:position w:val="1"/>
          <w:sz w:val="20"/>
        </w:rPr>
        <w:t> </w:t>
      </w:r>
      <w:r>
        <w:rPr>
          <w:position w:val="1"/>
          <w:sz w:val="20"/>
        </w:rPr>
        <w:t>employer</w:t>
      </w:r>
      <w:r>
        <w:rPr>
          <w:spacing w:val="-14"/>
          <w:position w:val="1"/>
          <w:sz w:val="20"/>
        </w:rPr>
        <w:t> </w:t>
      </w:r>
      <w:r>
        <w:rPr>
          <w:position w:val="1"/>
          <w:sz w:val="20"/>
        </w:rPr>
        <w:t>securities.</w:t>
      </w:r>
      <w:r>
        <w:rPr>
          <w:spacing w:val="-14"/>
          <w:position w:val="1"/>
          <w:sz w:val="20"/>
        </w:rPr>
        <w:t> </w:t>
      </w:r>
      <w:r>
        <w:rPr>
          <w:spacing w:val="-5"/>
          <w:position w:val="1"/>
          <w:sz w:val="20"/>
        </w:rPr>
        <w:t>See</w:t>
      </w:r>
    </w:p>
    <w:p>
      <w:pPr>
        <w:spacing w:line="218" w:lineRule="exact" w:before="0"/>
        <w:ind w:left="120" w:right="0" w:firstLine="0"/>
        <w:jc w:val="both"/>
        <w:rPr>
          <w:sz w:val="20"/>
        </w:rPr>
      </w:pPr>
      <w:hyperlink w:history="true" w:anchor="_bookmark3">
        <w:r>
          <w:rPr>
            <w:rFonts w:ascii="Arial"/>
            <w:i/>
            <w:color w:val="0056A2"/>
            <w:sz w:val="20"/>
            <w:u w:val="single" w:color="0055A1"/>
          </w:rPr>
          <w:t>Section</w:t>
        </w:r>
        <w:r>
          <w:rPr>
            <w:rFonts w:ascii="Arial"/>
            <w:i/>
            <w:color w:val="0056A2"/>
            <w:spacing w:val="-8"/>
            <w:sz w:val="20"/>
            <w:u w:val="single" w:color="0055A1"/>
          </w:rPr>
          <w:t> </w:t>
        </w:r>
        <w:r>
          <w:rPr>
            <w:rFonts w:ascii="Arial"/>
            <w:i/>
            <w:color w:val="0056A2"/>
            <w:sz w:val="20"/>
            <w:u w:val="single" w:color="0055A1"/>
          </w:rPr>
          <w:t>404(k)</w:t>
        </w:r>
        <w:r>
          <w:rPr>
            <w:rFonts w:ascii="Arial"/>
            <w:i/>
            <w:color w:val="0056A2"/>
            <w:spacing w:val="-8"/>
            <w:sz w:val="20"/>
            <w:u w:val="single" w:color="0055A1"/>
          </w:rPr>
          <w:t> </w:t>
        </w:r>
        <w:r>
          <w:rPr>
            <w:rFonts w:ascii="Arial"/>
            <w:i/>
            <w:color w:val="0056A2"/>
            <w:sz w:val="20"/>
            <w:u w:val="single" w:color="0055A1"/>
          </w:rPr>
          <w:t>Dividends</w:t>
        </w:r>
      </w:hyperlink>
      <w:r>
        <w:rPr>
          <w:sz w:val="20"/>
        </w:rPr>
        <w:t>,</w:t>
      </w:r>
      <w:r>
        <w:rPr>
          <w:spacing w:val="-8"/>
          <w:sz w:val="20"/>
        </w:rPr>
        <w:t> </w:t>
      </w:r>
      <w:r>
        <w:rPr>
          <w:spacing w:val="-2"/>
          <w:sz w:val="20"/>
        </w:rPr>
        <w:t>later.</w:t>
      </w:r>
    </w:p>
    <w:p>
      <w:pPr>
        <w:spacing w:line="232" w:lineRule="auto" w:before="0"/>
        <w:ind w:left="120" w:right="90" w:firstLine="180"/>
        <w:jc w:val="left"/>
        <w:rPr>
          <w:sz w:val="20"/>
        </w:rPr>
      </w:pPr>
      <w:r>
        <w:rPr>
          <w:rFonts w:ascii="Arial"/>
          <w:b/>
          <w:i/>
          <w:sz w:val="20"/>
        </w:rPr>
        <w:t>Qualified</w:t>
      </w:r>
      <w:r>
        <w:rPr>
          <w:rFonts w:ascii="Arial"/>
          <w:b/>
          <w:i/>
          <w:spacing w:val="-8"/>
          <w:sz w:val="20"/>
        </w:rPr>
        <w:t> </w:t>
      </w:r>
      <w:r>
        <w:rPr>
          <w:rFonts w:ascii="Arial"/>
          <w:b/>
          <w:i/>
          <w:sz w:val="20"/>
        </w:rPr>
        <w:t>foreign</w:t>
      </w:r>
      <w:r>
        <w:rPr>
          <w:rFonts w:ascii="Arial"/>
          <w:b/>
          <w:i/>
          <w:spacing w:val="-8"/>
          <w:sz w:val="20"/>
        </w:rPr>
        <w:t> </w:t>
      </w:r>
      <w:r>
        <w:rPr>
          <w:rFonts w:ascii="Arial"/>
          <w:b/>
          <w:i/>
          <w:sz w:val="20"/>
        </w:rPr>
        <w:t>corporation.</w:t>
      </w:r>
      <w:r>
        <w:rPr>
          <w:rFonts w:ascii="Arial"/>
          <w:b/>
          <w:i/>
          <w:spacing w:val="32"/>
          <w:sz w:val="20"/>
        </w:rPr>
        <w:t> </w:t>
      </w:r>
      <w:r>
        <w:rPr>
          <w:sz w:val="20"/>
        </w:rPr>
        <w:t>A</w:t>
      </w:r>
      <w:r>
        <w:rPr>
          <w:spacing w:val="-12"/>
          <w:sz w:val="20"/>
        </w:rPr>
        <w:t> </w:t>
      </w:r>
      <w:r>
        <w:rPr>
          <w:sz w:val="20"/>
        </w:rPr>
        <w:t>foreign</w:t>
      </w:r>
      <w:r>
        <w:rPr>
          <w:spacing w:val="-12"/>
          <w:sz w:val="20"/>
        </w:rPr>
        <w:t> </w:t>
      </w:r>
      <w:r>
        <w:rPr>
          <w:sz w:val="20"/>
        </w:rPr>
        <w:t>corporation is a qualified foreign corporation if it is:</w:t>
      </w:r>
    </w:p>
    <w:p>
      <w:pPr>
        <w:pStyle w:val="ListParagraph"/>
        <w:numPr>
          <w:ilvl w:val="0"/>
          <w:numId w:val="3"/>
        </w:numPr>
        <w:tabs>
          <w:tab w:pos="659" w:val="left" w:leader="none"/>
        </w:tabs>
        <w:spacing w:line="227" w:lineRule="exact" w:before="44" w:after="0"/>
        <w:ind w:left="659" w:right="0" w:hanging="299"/>
        <w:jc w:val="left"/>
        <w:rPr>
          <w:sz w:val="20"/>
        </w:rPr>
      </w:pPr>
      <w:r>
        <w:rPr>
          <w:sz w:val="20"/>
        </w:rPr>
        <w:t>Incorporated</w:t>
      </w:r>
      <w:r>
        <w:rPr>
          <w:spacing w:val="-11"/>
          <w:sz w:val="20"/>
        </w:rPr>
        <w:t> </w:t>
      </w:r>
      <w:r>
        <w:rPr>
          <w:sz w:val="20"/>
        </w:rPr>
        <w:t>in</w:t>
      </w:r>
      <w:r>
        <w:rPr>
          <w:spacing w:val="-10"/>
          <w:sz w:val="20"/>
        </w:rPr>
        <w:t> </w:t>
      </w:r>
      <w:r>
        <w:rPr>
          <w:sz w:val="20"/>
        </w:rPr>
        <w:t>a</w:t>
      </w:r>
      <w:r>
        <w:rPr>
          <w:spacing w:val="-11"/>
          <w:sz w:val="20"/>
        </w:rPr>
        <w:t> </w:t>
      </w:r>
      <w:r>
        <w:rPr>
          <w:sz w:val="20"/>
        </w:rPr>
        <w:t>possession</w:t>
      </w:r>
      <w:r>
        <w:rPr>
          <w:spacing w:val="-10"/>
          <w:sz w:val="20"/>
        </w:rPr>
        <w:t> </w:t>
      </w:r>
      <w:r>
        <w:rPr>
          <w:sz w:val="20"/>
        </w:rPr>
        <w:t>of</w:t>
      </w:r>
      <w:r>
        <w:rPr>
          <w:spacing w:val="-10"/>
          <w:sz w:val="20"/>
        </w:rPr>
        <w:t> </w:t>
      </w:r>
      <w:r>
        <w:rPr>
          <w:sz w:val="20"/>
        </w:rPr>
        <w:t>the</w:t>
      </w:r>
      <w:r>
        <w:rPr>
          <w:spacing w:val="-11"/>
          <w:sz w:val="20"/>
        </w:rPr>
        <w:t> </w:t>
      </w:r>
      <w:r>
        <w:rPr>
          <w:sz w:val="20"/>
        </w:rPr>
        <w:t>United</w:t>
      </w:r>
      <w:r>
        <w:rPr>
          <w:spacing w:val="-10"/>
          <w:sz w:val="20"/>
        </w:rPr>
        <w:t> </w:t>
      </w:r>
      <w:r>
        <w:rPr>
          <w:spacing w:val="-2"/>
          <w:sz w:val="20"/>
        </w:rPr>
        <w:t>States,</w:t>
      </w:r>
    </w:p>
    <w:p>
      <w:pPr>
        <w:pStyle w:val="BodyText"/>
        <w:spacing w:line="227" w:lineRule="exact"/>
      </w:pPr>
      <w:r>
        <w:rPr>
          <w:spacing w:val="-5"/>
        </w:rPr>
        <w:t>or</w:t>
      </w:r>
    </w:p>
    <w:p>
      <w:pPr>
        <w:pStyle w:val="ListParagraph"/>
        <w:numPr>
          <w:ilvl w:val="0"/>
          <w:numId w:val="3"/>
        </w:numPr>
        <w:tabs>
          <w:tab w:pos="659" w:val="left" w:leader="none"/>
        </w:tabs>
        <w:spacing w:line="232" w:lineRule="auto" w:before="60" w:after="0"/>
        <w:ind w:left="120" w:right="38" w:firstLine="240"/>
        <w:jc w:val="left"/>
        <w:rPr>
          <w:sz w:val="20"/>
        </w:rPr>
      </w:pPr>
      <w:r>
        <w:rPr>
          <w:sz w:val="20"/>
        </w:rPr>
        <w:t>Eligible</w:t>
      </w:r>
      <w:r>
        <w:rPr>
          <w:spacing w:val="-3"/>
          <w:sz w:val="20"/>
        </w:rPr>
        <w:t> </w:t>
      </w:r>
      <w:r>
        <w:rPr>
          <w:sz w:val="20"/>
        </w:rPr>
        <w:t>for</w:t>
      </w:r>
      <w:r>
        <w:rPr>
          <w:spacing w:val="-3"/>
          <w:sz w:val="20"/>
        </w:rPr>
        <w:t> </w:t>
      </w:r>
      <w:r>
        <w:rPr>
          <w:sz w:val="20"/>
        </w:rPr>
        <w:t>benefits</w:t>
      </w:r>
      <w:r>
        <w:rPr>
          <w:spacing w:val="-3"/>
          <w:sz w:val="20"/>
        </w:rPr>
        <w:t> </w:t>
      </w:r>
      <w:r>
        <w:rPr>
          <w:sz w:val="20"/>
        </w:rPr>
        <w:t>of</w:t>
      </w:r>
      <w:r>
        <w:rPr>
          <w:spacing w:val="-3"/>
          <w:sz w:val="20"/>
        </w:rPr>
        <w:t> </w:t>
      </w:r>
      <w:r>
        <w:rPr>
          <w:sz w:val="20"/>
        </w:rPr>
        <w:t>a</w:t>
      </w:r>
      <w:r>
        <w:rPr>
          <w:spacing w:val="-3"/>
          <w:sz w:val="20"/>
        </w:rPr>
        <w:t> </w:t>
      </w:r>
      <w:r>
        <w:rPr>
          <w:sz w:val="20"/>
        </w:rPr>
        <w:t>comprehensive</w:t>
      </w:r>
      <w:r>
        <w:rPr>
          <w:spacing w:val="-3"/>
          <w:sz w:val="20"/>
        </w:rPr>
        <w:t> </w:t>
      </w:r>
      <w:r>
        <w:rPr>
          <w:sz w:val="20"/>
        </w:rPr>
        <w:t>income</w:t>
      </w:r>
      <w:r>
        <w:rPr>
          <w:spacing w:val="-3"/>
          <w:sz w:val="20"/>
        </w:rPr>
        <w:t> </w:t>
      </w:r>
      <w:r>
        <w:rPr>
          <w:sz w:val="20"/>
        </w:rPr>
        <w:t>tax treaty</w:t>
      </w:r>
      <w:r>
        <w:rPr>
          <w:spacing w:val="-14"/>
          <w:sz w:val="20"/>
        </w:rPr>
        <w:t> </w:t>
      </w:r>
      <w:r>
        <w:rPr>
          <w:sz w:val="20"/>
        </w:rPr>
        <w:t>with</w:t>
      </w:r>
      <w:r>
        <w:rPr>
          <w:spacing w:val="-14"/>
          <w:sz w:val="20"/>
        </w:rPr>
        <w:t> </w:t>
      </w:r>
      <w:r>
        <w:rPr>
          <w:sz w:val="20"/>
        </w:rPr>
        <w:t>the</w:t>
      </w:r>
      <w:r>
        <w:rPr>
          <w:spacing w:val="-14"/>
          <w:sz w:val="20"/>
        </w:rPr>
        <w:t> </w:t>
      </w:r>
      <w:r>
        <w:rPr>
          <w:sz w:val="20"/>
        </w:rPr>
        <w:t>United</w:t>
      </w:r>
      <w:r>
        <w:rPr>
          <w:spacing w:val="-14"/>
          <w:sz w:val="20"/>
        </w:rPr>
        <w:t> </w:t>
      </w:r>
      <w:r>
        <w:rPr>
          <w:sz w:val="20"/>
        </w:rPr>
        <w:t>States</w:t>
      </w:r>
      <w:r>
        <w:rPr>
          <w:spacing w:val="-14"/>
          <w:sz w:val="20"/>
        </w:rPr>
        <w:t> </w:t>
      </w:r>
      <w:r>
        <w:rPr>
          <w:sz w:val="20"/>
        </w:rPr>
        <w:t>that</w:t>
      </w:r>
      <w:r>
        <w:rPr>
          <w:spacing w:val="-14"/>
          <w:sz w:val="20"/>
        </w:rPr>
        <w:t> </w:t>
      </w:r>
      <w:r>
        <w:rPr>
          <w:sz w:val="20"/>
        </w:rPr>
        <w:t>the</w:t>
      </w:r>
      <w:r>
        <w:rPr>
          <w:spacing w:val="-14"/>
          <w:sz w:val="20"/>
        </w:rPr>
        <w:t> </w:t>
      </w:r>
      <w:r>
        <w:rPr>
          <w:sz w:val="20"/>
        </w:rPr>
        <w:t>Treasury</w:t>
      </w:r>
      <w:r>
        <w:rPr>
          <w:spacing w:val="-14"/>
          <w:sz w:val="20"/>
        </w:rPr>
        <w:t> </w:t>
      </w:r>
      <w:r>
        <w:rPr>
          <w:sz w:val="20"/>
        </w:rPr>
        <w:t>Department determines is satisfactory for this purpose and that </w:t>
      </w:r>
      <w:bookmarkStart w:name="_bookmark4" w:id="14"/>
      <w:bookmarkEnd w:id="14"/>
      <w:r>
        <w:rPr>
          <w:sz w:val="20"/>
        </w:rPr>
        <w:t>includes</w:t>
      </w:r>
      <w:r>
        <w:rPr>
          <w:sz w:val="20"/>
        </w:rPr>
        <w:t> an exchange of information program.</w:t>
      </w:r>
    </w:p>
    <w:p>
      <w:pPr>
        <w:spacing w:line="232" w:lineRule="auto" w:before="123"/>
        <w:ind w:left="816"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1200">
                <wp:simplePos x="0" y="0"/>
                <wp:positionH relativeFrom="page">
                  <wp:posOffset>533400</wp:posOffset>
                </wp:positionH>
                <wp:positionV relativeFrom="paragraph">
                  <wp:posOffset>99830</wp:posOffset>
                </wp:positionV>
                <wp:extent cx="387350" cy="38735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87350" cy="387350"/>
                          <a:chExt cx="387350" cy="387350"/>
                        </a:xfrm>
                      </wpg:grpSpPr>
                      <wps:wsp>
                        <wps:cNvPr id="22" name="Graphic 22"/>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24" name="Textbox 24"/>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7.860675pt;width:30.5pt;height:30.5pt;mso-position-horizontal-relative:page;mso-position-vertical-relative:paragraph;z-index:15731200" id="docshapegroup20" coordorigin="840,157" coordsize="610,610">
                <v:shape style="position:absolute;left:840;top:157;width:610;height:610" id="docshape21" coordorigin="840,157" coordsize="610,610" path="m1411,157l878,157,863,160,851,168,843,180,840,195,840,728,843,743,851,755,863,763,878,766,1411,766,1426,763,1438,755,1446,743,1449,728,1449,195,1446,180,1438,168,1426,160,1411,157xe" filled="true" fillcolor="#000000" stroked="false">
                  <v:path arrowok="t"/>
                  <v:fill type="solid"/>
                </v:shape>
                <v:shape style="position:absolute;left:890;top:207;width:508;height:508" id="docshape22" coordorigin="891,208" coordsize="508,508" path="m1145,208l1077,217,1017,243,965,282,925,334,900,394,891,462,900,529,925,590,965,641,1017,681,1077,707,1145,716,1212,707,1273,681,1324,641,1364,590,1389,529,1398,462,1389,394,1364,334,1324,282,1273,243,1212,217,1145,208xe" filled="true" fillcolor="#ffffff" stroked="false">
                  <v:path arrowok="t"/>
                  <v:fill type="solid"/>
                </v:shape>
                <v:shape style="position:absolute;left:840;top:157;width:610;height:610" type="#_x0000_t202" id="docshape23"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sz w:val="20"/>
        </w:rPr>
        <w:t>For a list of income tax treaties of the United States</w:t>
      </w:r>
      <w:r>
        <w:rPr>
          <w:rFonts w:ascii="Arial"/>
          <w:i/>
          <w:spacing w:val="-2"/>
          <w:sz w:val="20"/>
        </w:rPr>
        <w:t> </w:t>
      </w:r>
      <w:r>
        <w:rPr>
          <w:rFonts w:ascii="Arial"/>
          <w:i/>
          <w:sz w:val="20"/>
        </w:rPr>
        <w:t>that</w:t>
      </w:r>
      <w:r>
        <w:rPr>
          <w:rFonts w:ascii="Arial"/>
          <w:i/>
          <w:spacing w:val="-2"/>
          <w:sz w:val="20"/>
        </w:rPr>
        <w:t> </w:t>
      </w:r>
      <w:r>
        <w:rPr>
          <w:rFonts w:ascii="Arial"/>
          <w:i/>
          <w:sz w:val="20"/>
        </w:rPr>
        <w:t>(a)</w:t>
      </w:r>
      <w:r>
        <w:rPr>
          <w:rFonts w:ascii="Arial"/>
          <w:i/>
          <w:spacing w:val="-2"/>
          <w:sz w:val="20"/>
        </w:rPr>
        <w:t> </w:t>
      </w:r>
      <w:r>
        <w:rPr>
          <w:rFonts w:ascii="Arial"/>
          <w:i/>
          <w:sz w:val="20"/>
        </w:rPr>
        <w:t>are</w:t>
      </w:r>
      <w:r>
        <w:rPr>
          <w:rFonts w:ascii="Arial"/>
          <w:i/>
          <w:spacing w:val="-2"/>
          <w:sz w:val="20"/>
        </w:rPr>
        <w:t> </w:t>
      </w:r>
      <w:r>
        <w:rPr>
          <w:rFonts w:ascii="Arial"/>
          <w:i/>
          <w:sz w:val="20"/>
        </w:rPr>
        <w:t>comprehensive,</w:t>
      </w:r>
      <w:r>
        <w:rPr>
          <w:rFonts w:ascii="Arial"/>
          <w:i/>
          <w:spacing w:val="-2"/>
          <w:sz w:val="20"/>
        </w:rPr>
        <w:t> </w:t>
      </w:r>
      <w:r>
        <w:rPr>
          <w:rFonts w:ascii="Arial"/>
          <w:i/>
          <w:sz w:val="20"/>
        </w:rPr>
        <w:t>(b)</w:t>
      </w:r>
      <w:r>
        <w:rPr>
          <w:rFonts w:ascii="Arial"/>
          <w:i/>
          <w:spacing w:val="-2"/>
          <w:sz w:val="20"/>
        </w:rPr>
        <w:t> </w:t>
      </w:r>
      <w:r>
        <w:rPr>
          <w:rFonts w:ascii="Arial"/>
          <w:i/>
          <w:sz w:val="20"/>
        </w:rPr>
        <w:t>include</w:t>
      </w:r>
      <w:r>
        <w:rPr>
          <w:rFonts w:ascii="Arial"/>
          <w:i/>
          <w:spacing w:val="-2"/>
          <w:sz w:val="20"/>
        </w:rPr>
        <w:t> </w:t>
      </w:r>
      <w:r>
        <w:rPr>
          <w:rFonts w:ascii="Arial"/>
          <w:i/>
          <w:sz w:val="20"/>
        </w:rPr>
        <w:t>an </w:t>
      </w:r>
      <w:r>
        <w:rPr>
          <w:rFonts w:ascii="Arial"/>
          <w:i/>
          <w:spacing w:val="-2"/>
          <w:sz w:val="20"/>
        </w:rPr>
        <w:t>information</w:t>
      </w:r>
      <w:r>
        <w:rPr>
          <w:rFonts w:ascii="Arial"/>
          <w:i/>
          <w:spacing w:val="-7"/>
          <w:sz w:val="20"/>
        </w:rPr>
        <w:t> </w:t>
      </w:r>
      <w:r>
        <w:rPr>
          <w:rFonts w:ascii="Arial"/>
          <w:i/>
          <w:spacing w:val="-2"/>
          <w:sz w:val="20"/>
        </w:rPr>
        <w:t>exchange</w:t>
      </w:r>
      <w:r>
        <w:rPr>
          <w:rFonts w:ascii="Arial"/>
          <w:i/>
          <w:spacing w:val="-6"/>
          <w:sz w:val="20"/>
        </w:rPr>
        <w:t> </w:t>
      </w:r>
      <w:r>
        <w:rPr>
          <w:rFonts w:ascii="Arial"/>
          <w:i/>
          <w:spacing w:val="-2"/>
          <w:sz w:val="20"/>
        </w:rPr>
        <w:t>program,</w:t>
      </w:r>
      <w:r>
        <w:rPr>
          <w:rFonts w:ascii="Arial"/>
          <w:i/>
          <w:spacing w:val="-6"/>
          <w:sz w:val="20"/>
        </w:rPr>
        <w:t> </w:t>
      </w:r>
      <w:r>
        <w:rPr>
          <w:rFonts w:ascii="Arial"/>
          <w:i/>
          <w:spacing w:val="-2"/>
          <w:sz w:val="20"/>
        </w:rPr>
        <w:t>and</w:t>
      </w:r>
      <w:r>
        <w:rPr>
          <w:rFonts w:ascii="Arial"/>
          <w:i/>
          <w:spacing w:val="-7"/>
          <w:sz w:val="20"/>
        </w:rPr>
        <w:t> </w:t>
      </w:r>
      <w:r>
        <w:rPr>
          <w:rFonts w:ascii="Arial"/>
          <w:i/>
          <w:spacing w:val="-2"/>
          <w:sz w:val="20"/>
        </w:rPr>
        <w:t>(c)</w:t>
      </w:r>
      <w:r>
        <w:rPr>
          <w:rFonts w:ascii="Arial"/>
          <w:i/>
          <w:spacing w:val="-6"/>
          <w:sz w:val="20"/>
        </w:rPr>
        <w:t> </w:t>
      </w:r>
      <w:r>
        <w:rPr>
          <w:rFonts w:ascii="Arial"/>
          <w:i/>
          <w:spacing w:val="-2"/>
          <w:sz w:val="20"/>
        </w:rPr>
        <w:t>have</w:t>
      </w:r>
      <w:r>
        <w:rPr>
          <w:rFonts w:ascii="Arial"/>
          <w:i/>
          <w:spacing w:val="-6"/>
          <w:sz w:val="20"/>
        </w:rPr>
        <w:t> </w:t>
      </w:r>
      <w:r>
        <w:rPr>
          <w:rFonts w:ascii="Arial"/>
          <w:i/>
          <w:spacing w:val="-4"/>
          <w:sz w:val="20"/>
        </w:rPr>
        <w:t>been</w:t>
      </w:r>
    </w:p>
    <w:p>
      <w:pPr>
        <w:spacing w:line="232" w:lineRule="auto" w:before="3"/>
        <w:ind w:left="120" w:right="78" w:firstLine="0"/>
        <w:jc w:val="both"/>
        <w:rPr>
          <w:rFonts w:ascii="Arial"/>
          <w:i/>
          <w:sz w:val="20"/>
        </w:rPr>
      </w:pPr>
      <w:r>
        <w:rPr>
          <w:rFonts w:ascii="Arial"/>
          <w:i/>
          <w:sz w:val="20"/>
        </w:rPr>
        <w:t>determined</w:t>
      </w:r>
      <w:r>
        <w:rPr>
          <w:rFonts w:ascii="Arial"/>
          <w:i/>
          <w:spacing w:val="-14"/>
          <w:sz w:val="20"/>
        </w:rPr>
        <w:t> </w:t>
      </w:r>
      <w:r>
        <w:rPr>
          <w:rFonts w:ascii="Arial"/>
          <w:i/>
          <w:sz w:val="20"/>
        </w:rPr>
        <w:t>by</w:t>
      </w:r>
      <w:r>
        <w:rPr>
          <w:rFonts w:ascii="Arial"/>
          <w:i/>
          <w:spacing w:val="-14"/>
          <w:sz w:val="20"/>
        </w:rPr>
        <w:t> </w:t>
      </w:r>
      <w:r>
        <w:rPr>
          <w:rFonts w:ascii="Arial"/>
          <w:i/>
          <w:sz w:val="20"/>
        </w:rPr>
        <w:t>the</w:t>
      </w:r>
      <w:r>
        <w:rPr>
          <w:rFonts w:ascii="Arial"/>
          <w:i/>
          <w:spacing w:val="-14"/>
          <w:sz w:val="20"/>
        </w:rPr>
        <w:t> </w:t>
      </w:r>
      <w:r>
        <w:rPr>
          <w:rFonts w:ascii="Arial"/>
          <w:i/>
          <w:sz w:val="20"/>
        </w:rPr>
        <w:t>Treasury</w:t>
      </w:r>
      <w:r>
        <w:rPr>
          <w:rFonts w:ascii="Arial"/>
          <w:i/>
          <w:spacing w:val="-14"/>
          <w:sz w:val="20"/>
        </w:rPr>
        <w:t> </w:t>
      </w:r>
      <w:r>
        <w:rPr>
          <w:rFonts w:ascii="Arial"/>
          <w:i/>
          <w:sz w:val="20"/>
        </w:rPr>
        <w:t>Department</w:t>
      </w:r>
      <w:r>
        <w:rPr>
          <w:rFonts w:ascii="Arial"/>
          <w:i/>
          <w:spacing w:val="-14"/>
          <w:sz w:val="20"/>
        </w:rPr>
        <w:t> </w:t>
      </w:r>
      <w:r>
        <w:rPr>
          <w:rFonts w:ascii="Arial"/>
          <w:i/>
          <w:sz w:val="20"/>
        </w:rPr>
        <w:t>to</w:t>
      </w:r>
      <w:r>
        <w:rPr>
          <w:rFonts w:ascii="Arial"/>
          <w:i/>
          <w:spacing w:val="-14"/>
          <w:sz w:val="20"/>
        </w:rPr>
        <w:t> </w:t>
      </w:r>
      <w:r>
        <w:rPr>
          <w:rFonts w:ascii="Arial"/>
          <w:i/>
          <w:sz w:val="20"/>
        </w:rPr>
        <w:t>be</w:t>
      </w:r>
      <w:r>
        <w:rPr>
          <w:rFonts w:ascii="Arial"/>
          <w:i/>
          <w:spacing w:val="-14"/>
          <w:sz w:val="20"/>
        </w:rPr>
        <w:t> </w:t>
      </w:r>
      <w:r>
        <w:rPr>
          <w:rFonts w:ascii="Arial"/>
          <w:i/>
          <w:sz w:val="20"/>
        </w:rPr>
        <w:t>satisfactory for</w:t>
      </w:r>
      <w:r>
        <w:rPr>
          <w:rFonts w:ascii="Arial"/>
          <w:i/>
          <w:spacing w:val="-10"/>
          <w:sz w:val="20"/>
        </w:rPr>
        <w:t> </w:t>
      </w:r>
      <w:r>
        <w:rPr>
          <w:rFonts w:ascii="Arial"/>
          <w:i/>
          <w:sz w:val="20"/>
        </w:rPr>
        <w:t>this</w:t>
      </w:r>
      <w:r>
        <w:rPr>
          <w:rFonts w:ascii="Arial"/>
          <w:i/>
          <w:spacing w:val="-10"/>
          <w:sz w:val="20"/>
        </w:rPr>
        <w:t> </w:t>
      </w:r>
      <w:r>
        <w:rPr>
          <w:rFonts w:ascii="Arial"/>
          <w:i/>
          <w:sz w:val="20"/>
        </w:rPr>
        <w:t>purpose,</w:t>
      </w:r>
      <w:r>
        <w:rPr>
          <w:rFonts w:ascii="Arial"/>
          <w:i/>
          <w:spacing w:val="-10"/>
          <w:sz w:val="20"/>
        </w:rPr>
        <w:t> </w:t>
      </w:r>
      <w:r>
        <w:rPr>
          <w:rFonts w:ascii="Arial"/>
          <w:i/>
          <w:sz w:val="20"/>
        </w:rPr>
        <w:t>see</w:t>
      </w:r>
      <w:r>
        <w:rPr>
          <w:rFonts w:ascii="Arial"/>
          <w:i/>
          <w:spacing w:val="-10"/>
          <w:sz w:val="20"/>
        </w:rPr>
        <w:t> </w:t>
      </w:r>
      <w:r>
        <w:rPr>
          <w:rFonts w:ascii="Arial"/>
          <w:i/>
          <w:sz w:val="20"/>
        </w:rPr>
        <w:t>Notice</w:t>
      </w:r>
      <w:r>
        <w:rPr>
          <w:rFonts w:ascii="Arial"/>
          <w:i/>
          <w:spacing w:val="-10"/>
          <w:sz w:val="20"/>
        </w:rPr>
        <w:t> </w:t>
      </w:r>
      <w:r>
        <w:rPr>
          <w:rFonts w:ascii="Arial"/>
          <w:i/>
          <w:sz w:val="20"/>
        </w:rPr>
        <w:t>2011-64,</w:t>
      </w:r>
      <w:r>
        <w:rPr>
          <w:rFonts w:ascii="Arial"/>
          <w:i/>
          <w:spacing w:val="-10"/>
          <w:sz w:val="20"/>
        </w:rPr>
        <w:t> </w:t>
      </w:r>
      <w:r>
        <w:rPr>
          <w:rFonts w:ascii="Arial"/>
          <w:i/>
          <w:sz w:val="20"/>
        </w:rPr>
        <w:t>2011-37</w:t>
      </w:r>
      <w:r>
        <w:rPr>
          <w:rFonts w:ascii="Arial"/>
          <w:i/>
          <w:spacing w:val="-10"/>
          <w:sz w:val="20"/>
        </w:rPr>
        <w:t> </w:t>
      </w:r>
      <w:r>
        <w:rPr>
          <w:rFonts w:ascii="Arial"/>
          <w:i/>
          <w:sz w:val="20"/>
        </w:rPr>
        <w:t>I.R.B.</w:t>
      </w:r>
      <w:r>
        <w:rPr>
          <w:rFonts w:ascii="Arial"/>
          <w:i/>
          <w:spacing w:val="-10"/>
          <w:sz w:val="20"/>
        </w:rPr>
        <w:t> </w:t>
      </w:r>
      <w:r>
        <w:rPr>
          <w:rFonts w:ascii="Arial"/>
          <w:i/>
          <w:sz w:val="20"/>
        </w:rPr>
        <w:t>231, available at </w:t>
      </w:r>
      <w:hyperlink r:id="rId14">
        <w:r>
          <w:rPr>
            <w:rFonts w:ascii="Arial"/>
            <w:i/>
            <w:color w:val="0056A2"/>
            <w:sz w:val="20"/>
            <w:u w:val="single" w:color="0055A1"/>
          </w:rPr>
          <w:t>IRS.gov/irb/2011-37_IRB#NOT-2011-64</w:t>
        </w:r>
      </w:hyperlink>
      <w:r>
        <w:rPr>
          <w:rFonts w:ascii="Arial"/>
          <w:i/>
          <w:sz w:val="20"/>
        </w:rPr>
        <w:t>.</w:t>
      </w:r>
    </w:p>
    <w:p>
      <w:pPr>
        <w:pStyle w:val="BodyText"/>
        <w:spacing w:line="232" w:lineRule="auto" w:before="163"/>
        <w:ind w:left="119" w:right="72" w:firstLine="240"/>
      </w:pPr>
      <w:r>
        <w:rPr/>
        <w:t>If</w:t>
      </w:r>
      <w:r>
        <w:rPr>
          <w:spacing w:val="-13"/>
        </w:rPr>
        <w:t> </w:t>
      </w:r>
      <w:r>
        <w:rPr/>
        <w:t>the</w:t>
      </w:r>
      <w:r>
        <w:rPr>
          <w:spacing w:val="-13"/>
        </w:rPr>
        <w:t> </w:t>
      </w:r>
      <w:r>
        <w:rPr/>
        <w:t>foreign</w:t>
      </w:r>
      <w:r>
        <w:rPr>
          <w:spacing w:val="-13"/>
        </w:rPr>
        <w:t> </w:t>
      </w:r>
      <w:r>
        <w:rPr/>
        <w:t>corporation</w:t>
      </w:r>
      <w:r>
        <w:rPr>
          <w:spacing w:val="-13"/>
        </w:rPr>
        <w:t> </w:t>
      </w:r>
      <w:r>
        <w:rPr/>
        <w:t>does</w:t>
      </w:r>
      <w:r>
        <w:rPr>
          <w:spacing w:val="-13"/>
        </w:rPr>
        <w:t> </w:t>
      </w:r>
      <w:r>
        <w:rPr/>
        <w:t>not</w:t>
      </w:r>
      <w:r>
        <w:rPr>
          <w:spacing w:val="-13"/>
        </w:rPr>
        <w:t> </w:t>
      </w:r>
      <w:r>
        <w:rPr/>
        <w:t>meet</w:t>
      </w:r>
      <w:r>
        <w:rPr>
          <w:spacing w:val="-13"/>
        </w:rPr>
        <w:t> </w:t>
      </w:r>
      <w:r>
        <w:rPr/>
        <w:t>either</w:t>
      </w:r>
      <w:r>
        <w:rPr>
          <w:spacing w:val="-13"/>
        </w:rPr>
        <w:t> </w:t>
      </w:r>
      <w:r>
        <w:rPr/>
        <w:t>(1)</w:t>
      </w:r>
      <w:r>
        <w:rPr>
          <w:spacing w:val="-13"/>
        </w:rPr>
        <w:t> </w:t>
      </w:r>
      <w:r>
        <w:rPr/>
        <w:t>or</w:t>
      </w:r>
      <w:r>
        <w:rPr>
          <w:spacing w:val="-13"/>
        </w:rPr>
        <w:t> </w:t>
      </w:r>
      <w:r>
        <w:rPr/>
        <w:t>(2) above, then it may be treated as a qualified foreign corporation</w:t>
      </w:r>
      <w:r>
        <w:rPr>
          <w:spacing w:val="-6"/>
        </w:rPr>
        <w:t> </w:t>
      </w:r>
      <w:r>
        <w:rPr/>
        <w:t>for</w:t>
      </w:r>
      <w:r>
        <w:rPr>
          <w:spacing w:val="-6"/>
        </w:rPr>
        <w:t> </w:t>
      </w:r>
      <w:r>
        <w:rPr/>
        <w:t>any</w:t>
      </w:r>
      <w:r>
        <w:rPr>
          <w:spacing w:val="-6"/>
        </w:rPr>
        <w:t> </w:t>
      </w:r>
      <w:r>
        <w:rPr/>
        <w:t>dividend</w:t>
      </w:r>
      <w:r>
        <w:rPr>
          <w:spacing w:val="-6"/>
        </w:rPr>
        <w:t> </w:t>
      </w:r>
      <w:r>
        <w:rPr/>
        <w:t>paid</w:t>
      </w:r>
      <w:r>
        <w:rPr>
          <w:spacing w:val="-6"/>
        </w:rPr>
        <w:t> </w:t>
      </w:r>
      <w:r>
        <w:rPr/>
        <w:t>by</w:t>
      </w:r>
      <w:r>
        <w:rPr>
          <w:spacing w:val="-6"/>
        </w:rPr>
        <w:t> </w:t>
      </w:r>
      <w:r>
        <w:rPr/>
        <w:t>the</w:t>
      </w:r>
      <w:r>
        <w:rPr>
          <w:spacing w:val="-6"/>
        </w:rPr>
        <w:t> </w:t>
      </w:r>
      <w:r>
        <w:rPr/>
        <w:t>corporation</w:t>
      </w:r>
      <w:r>
        <w:rPr>
          <w:spacing w:val="-6"/>
        </w:rPr>
        <w:t> </w:t>
      </w:r>
      <w:r>
        <w:rPr/>
        <w:t>if</w:t>
      </w:r>
      <w:r>
        <w:rPr>
          <w:spacing w:val="-6"/>
        </w:rPr>
        <w:t> </w:t>
      </w:r>
      <w:r>
        <w:rPr/>
        <w:t>the stock</w:t>
      </w:r>
      <w:r>
        <w:rPr>
          <w:spacing w:val="-11"/>
        </w:rPr>
        <w:t> </w:t>
      </w:r>
      <w:r>
        <w:rPr/>
        <w:t>associated</w:t>
      </w:r>
      <w:r>
        <w:rPr>
          <w:spacing w:val="-11"/>
        </w:rPr>
        <w:t> </w:t>
      </w:r>
      <w:r>
        <w:rPr/>
        <w:t>with</w:t>
      </w:r>
      <w:r>
        <w:rPr>
          <w:spacing w:val="-11"/>
        </w:rPr>
        <w:t> </w:t>
      </w:r>
      <w:r>
        <w:rPr/>
        <w:t>the</w:t>
      </w:r>
      <w:r>
        <w:rPr>
          <w:spacing w:val="-11"/>
        </w:rPr>
        <w:t> </w:t>
      </w:r>
      <w:r>
        <w:rPr/>
        <w:t>dividend</w:t>
      </w:r>
      <w:r>
        <w:rPr>
          <w:spacing w:val="-11"/>
        </w:rPr>
        <w:t> </w:t>
      </w:r>
      <w:r>
        <w:rPr/>
        <w:t>paid</w:t>
      </w:r>
      <w:r>
        <w:rPr>
          <w:spacing w:val="-11"/>
        </w:rPr>
        <w:t> </w:t>
      </w:r>
      <w:r>
        <w:rPr/>
        <w:t>is</w:t>
      </w:r>
      <w:r>
        <w:rPr>
          <w:spacing w:val="-11"/>
        </w:rPr>
        <w:t> </w:t>
      </w:r>
      <w:r>
        <w:rPr/>
        <w:t>readily</w:t>
      </w:r>
      <w:r>
        <w:rPr>
          <w:spacing w:val="-11"/>
        </w:rPr>
        <w:t> </w:t>
      </w:r>
      <w:r>
        <w:rPr/>
        <w:t>tradable on an established securities market in the United States. See Notice 2003-71, 2003-43 I.R.B. 922, available at </w:t>
      </w:r>
      <w:hyperlink r:id="rId15">
        <w:r>
          <w:rPr>
            <w:rFonts w:ascii="Arial"/>
            <w:i/>
            <w:color w:val="0056A2"/>
            <w:u w:val="single" w:color="0055A1"/>
          </w:rPr>
          <w:t>IRS.gov/irb/2003-43_IRB#NOT-2003-71</w:t>
        </w:r>
      </w:hyperlink>
      <w:r>
        <w:rPr/>
        <w:t>, for more</w:t>
      </w:r>
    </w:p>
    <w:p>
      <w:pPr>
        <w:pStyle w:val="BodyText"/>
        <w:spacing w:line="232" w:lineRule="auto" w:before="138"/>
        <w:ind w:left="119" w:right="227"/>
      </w:pPr>
      <w:r>
        <w:rPr/>
        <w:br w:type="column"/>
      </w:r>
      <w:r>
        <w:rPr/>
        <w:t>information on when stock may be considered to be readily</w:t>
      </w:r>
      <w:r>
        <w:rPr>
          <w:spacing w:val="-14"/>
        </w:rPr>
        <w:t> </w:t>
      </w:r>
      <w:r>
        <w:rPr/>
        <w:t>tradable.</w:t>
      </w:r>
      <w:r>
        <w:rPr>
          <w:spacing w:val="-14"/>
        </w:rPr>
        <w:t> </w:t>
      </w:r>
      <w:r>
        <w:rPr/>
        <w:t>For</w:t>
      </w:r>
      <w:r>
        <w:rPr>
          <w:spacing w:val="-14"/>
        </w:rPr>
        <w:t> </w:t>
      </w:r>
      <w:r>
        <w:rPr/>
        <w:t>additional</w:t>
      </w:r>
      <w:r>
        <w:rPr>
          <w:spacing w:val="-14"/>
        </w:rPr>
        <w:t> </w:t>
      </w:r>
      <w:r>
        <w:rPr/>
        <w:t>requirements</w:t>
      </w:r>
      <w:r>
        <w:rPr>
          <w:spacing w:val="-14"/>
        </w:rPr>
        <w:t> </w:t>
      </w:r>
      <w:r>
        <w:rPr/>
        <w:t>that</w:t>
      </w:r>
      <w:r>
        <w:rPr>
          <w:spacing w:val="-14"/>
        </w:rPr>
        <w:t> </w:t>
      </w:r>
      <w:r>
        <w:rPr/>
        <w:t>must</w:t>
      </w:r>
      <w:r>
        <w:rPr>
          <w:spacing w:val="-14"/>
        </w:rPr>
        <w:t> </w:t>
      </w:r>
      <w:r>
        <w:rPr/>
        <w:t>be met, see Notice 2006-3, 2006-3 I.R.B. 306, available at </w:t>
      </w:r>
      <w:hyperlink r:id="rId16">
        <w:r>
          <w:rPr>
            <w:rFonts w:ascii="Arial"/>
            <w:i/>
            <w:color w:val="0056A2"/>
            <w:spacing w:val="-2"/>
            <w:u w:val="single" w:color="0055A1"/>
          </w:rPr>
          <w:t>IRS.gov/irb/2006-03_IRB#NOT-2006-3</w:t>
        </w:r>
      </w:hyperlink>
      <w:r>
        <w:rPr>
          <w:spacing w:val="-2"/>
        </w:rPr>
        <w:t>.</w:t>
      </w:r>
    </w:p>
    <w:p>
      <w:pPr>
        <w:pStyle w:val="BodyText"/>
        <w:spacing w:line="232" w:lineRule="auto" w:before="64"/>
        <w:ind w:left="119" w:firstLine="240"/>
      </w:pPr>
      <w:r>
        <w:rPr/>
        <w:t>A</w:t>
      </w:r>
      <w:r>
        <w:rPr>
          <w:spacing w:val="-13"/>
        </w:rPr>
        <w:t> </w:t>
      </w:r>
      <w:r>
        <w:rPr/>
        <w:t>foreign</w:t>
      </w:r>
      <w:r>
        <w:rPr>
          <w:spacing w:val="-13"/>
        </w:rPr>
        <w:t> </w:t>
      </w:r>
      <w:r>
        <w:rPr/>
        <w:t>corporation</w:t>
      </w:r>
      <w:r>
        <w:rPr>
          <w:spacing w:val="-13"/>
        </w:rPr>
        <w:t> </w:t>
      </w:r>
      <w:r>
        <w:rPr/>
        <w:t>will</w:t>
      </w:r>
      <w:r>
        <w:rPr>
          <w:spacing w:val="-13"/>
        </w:rPr>
        <w:t> </w:t>
      </w:r>
      <w:r>
        <w:rPr/>
        <w:t>not</w:t>
      </w:r>
      <w:r>
        <w:rPr>
          <w:spacing w:val="-13"/>
        </w:rPr>
        <w:t> </w:t>
      </w:r>
      <w:r>
        <w:rPr/>
        <w:t>be</w:t>
      </w:r>
      <w:r>
        <w:rPr>
          <w:spacing w:val="-13"/>
        </w:rPr>
        <w:t> </w:t>
      </w:r>
      <w:r>
        <w:rPr/>
        <w:t>considered</w:t>
      </w:r>
      <w:r>
        <w:rPr>
          <w:spacing w:val="-13"/>
        </w:rPr>
        <w:t> </w:t>
      </w:r>
      <w:r>
        <w:rPr/>
        <w:t>a</w:t>
      </w:r>
      <w:r>
        <w:rPr>
          <w:spacing w:val="-13"/>
        </w:rPr>
        <w:t> </w:t>
      </w:r>
      <w:r>
        <w:rPr/>
        <w:t>qualified foreign corporation if:</w:t>
      </w:r>
    </w:p>
    <w:p>
      <w:pPr>
        <w:pStyle w:val="ListParagraph"/>
        <w:numPr>
          <w:ilvl w:val="0"/>
          <w:numId w:val="4"/>
        </w:numPr>
        <w:tabs>
          <w:tab w:pos="658" w:val="left" w:leader="none"/>
        </w:tabs>
        <w:spacing w:line="232" w:lineRule="auto" w:before="61" w:after="0"/>
        <w:ind w:left="119" w:right="314" w:firstLine="240"/>
        <w:jc w:val="left"/>
        <w:rPr>
          <w:sz w:val="20"/>
        </w:rPr>
      </w:pPr>
      <w:r>
        <w:rPr>
          <w:sz w:val="20"/>
        </w:rPr>
        <w:t>The foreign corporation is a passive foreign investment</w:t>
      </w:r>
      <w:r>
        <w:rPr>
          <w:spacing w:val="-13"/>
          <w:sz w:val="20"/>
        </w:rPr>
        <w:t> </w:t>
      </w:r>
      <w:r>
        <w:rPr>
          <w:sz w:val="20"/>
        </w:rPr>
        <w:t>company</w:t>
      </w:r>
      <w:r>
        <w:rPr>
          <w:spacing w:val="-13"/>
          <w:sz w:val="20"/>
        </w:rPr>
        <w:t> </w:t>
      </w:r>
      <w:r>
        <w:rPr>
          <w:sz w:val="20"/>
        </w:rPr>
        <w:t>(as</w:t>
      </w:r>
      <w:r>
        <w:rPr>
          <w:spacing w:val="-13"/>
          <w:sz w:val="20"/>
        </w:rPr>
        <w:t> </w:t>
      </w:r>
      <w:r>
        <w:rPr>
          <w:sz w:val="20"/>
        </w:rPr>
        <w:t>defined</w:t>
      </w:r>
      <w:r>
        <w:rPr>
          <w:spacing w:val="-13"/>
          <w:sz w:val="20"/>
        </w:rPr>
        <w:t> </w:t>
      </w:r>
      <w:r>
        <w:rPr>
          <w:sz w:val="20"/>
        </w:rPr>
        <w:t>in</w:t>
      </w:r>
      <w:r>
        <w:rPr>
          <w:spacing w:val="-13"/>
          <w:sz w:val="20"/>
        </w:rPr>
        <w:t> </w:t>
      </w:r>
      <w:r>
        <w:rPr>
          <w:sz w:val="20"/>
        </w:rPr>
        <w:t>section</w:t>
      </w:r>
      <w:r>
        <w:rPr>
          <w:spacing w:val="-13"/>
          <w:sz w:val="20"/>
        </w:rPr>
        <w:t> </w:t>
      </w:r>
      <w:r>
        <w:rPr>
          <w:sz w:val="20"/>
        </w:rPr>
        <w:t>1297)</w:t>
      </w:r>
      <w:r>
        <w:rPr>
          <w:spacing w:val="-13"/>
          <w:sz w:val="20"/>
        </w:rPr>
        <w:t> </w:t>
      </w:r>
      <w:r>
        <w:rPr>
          <w:sz w:val="20"/>
        </w:rPr>
        <w:t>for</w:t>
      </w:r>
      <w:r>
        <w:rPr>
          <w:spacing w:val="-13"/>
          <w:sz w:val="20"/>
        </w:rPr>
        <w:t> </w:t>
      </w:r>
      <w:r>
        <w:rPr>
          <w:sz w:val="20"/>
        </w:rPr>
        <w:t>the tax</w:t>
      </w:r>
      <w:r>
        <w:rPr>
          <w:spacing w:val="-12"/>
          <w:sz w:val="20"/>
        </w:rPr>
        <w:t> </w:t>
      </w:r>
      <w:r>
        <w:rPr>
          <w:sz w:val="20"/>
        </w:rPr>
        <w:t>year</w:t>
      </w:r>
      <w:r>
        <w:rPr>
          <w:spacing w:val="-12"/>
          <w:sz w:val="20"/>
        </w:rPr>
        <w:t> </w:t>
      </w:r>
      <w:r>
        <w:rPr>
          <w:sz w:val="20"/>
        </w:rPr>
        <w:t>in</w:t>
      </w:r>
      <w:r>
        <w:rPr>
          <w:spacing w:val="-12"/>
          <w:sz w:val="20"/>
        </w:rPr>
        <w:t> </w:t>
      </w:r>
      <w:r>
        <w:rPr>
          <w:sz w:val="20"/>
        </w:rPr>
        <w:t>which</w:t>
      </w:r>
      <w:r>
        <w:rPr>
          <w:spacing w:val="-12"/>
          <w:sz w:val="20"/>
        </w:rPr>
        <w:t> </w:t>
      </w:r>
      <w:r>
        <w:rPr>
          <w:sz w:val="20"/>
        </w:rPr>
        <w:t>the</w:t>
      </w:r>
      <w:r>
        <w:rPr>
          <w:spacing w:val="-12"/>
          <w:sz w:val="20"/>
        </w:rPr>
        <w:t> </w:t>
      </w:r>
      <w:r>
        <w:rPr>
          <w:sz w:val="20"/>
        </w:rPr>
        <w:t>dividend</w:t>
      </w:r>
      <w:r>
        <w:rPr>
          <w:spacing w:val="-12"/>
          <w:sz w:val="20"/>
        </w:rPr>
        <w:t> </w:t>
      </w:r>
      <w:r>
        <w:rPr>
          <w:sz w:val="20"/>
        </w:rPr>
        <w:t>was</w:t>
      </w:r>
      <w:r>
        <w:rPr>
          <w:spacing w:val="-12"/>
          <w:sz w:val="20"/>
        </w:rPr>
        <w:t> </w:t>
      </w:r>
      <w:r>
        <w:rPr>
          <w:sz w:val="20"/>
        </w:rPr>
        <w:t>paid</w:t>
      </w:r>
      <w:r>
        <w:rPr>
          <w:spacing w:val="-12"/>
          <w:sz w:val="20"/>
        </w:rPr>
        <w:t> </w:t>
      </w:r>
      <w:r>
        <w:rPr>
          <w:sz w:val="20"/>
        </w:rPr>
        <w:t>or</w:t>
      </w:r>
      <w:r>
        <w:rPr>
          <w:spacing w:val="-12"/>
          <w:sz w:val="20"/>
        </w:rPr>
        <w:t> </w:t>
      </w:r>
      <w:r>
        <w:rPr>
          <w:sz w:val="20"/>
        </w:rPr>
        <w:t>the</w:t>
      </w:r>
      <w:r>
        <w:rPr>
          <w:spacing w:val="-12"/>
          <w:sz w:val="20"/>
        </w:rPr>
        <w:t> </w:t>
      </w:r>
      <w:r>
        <w:rPr>
          <w:sz w:val="20"/>
        </w:rPr>
        <w:t>prior</w:t>
      </w:r>
      <w:r>
        <w:rPr>
          <w:spacing w:val="-12"/>
          <w:sz w:val="20"/>
        </w:rPr>
        <w:t> </w:t>
      </w:r>
      <w:r>
        <w:rPr>
          <w:sz w:val="20"/>
        </w:rPr>
        <w:t>year; </w:t>
      </w:r>
      <w:r>
        <w:rPr>
          <w:spacing w:val="-6"/>
          <w:sz w:val="20"/>
        </w:rPr>
        <w:t>or</w:t>
      </w:r>
    </w:p>
    <w:p>
      <w:pPr>
        <w:pStyle w:val="ListParagraph"/>
        <w:numPr>
          <w:ilvl w:val="0"/>
          <w:numId w:val="4"/>
        </w:numPr>
        <w:tabs>
          <w:tab w:pos="658" w:val="left" w:leader="none"/>
        </w:tabs>
        <w:spacing w:line="232" w:lineRule="auto" w:before="64" w:after="0"/>
        <w:ind w:left="119" w:right="186" w:firstLine="240"/>
        <w:jc w:val="left"/>
        <w:rPr>
          <w:sz w:val="20"/>
        </w:rPr>
      </w:pPr>
      <w:r>
        <w:rPr>
          <w:sz w:val="20"/>
        </w:rPr>
        <w:t>The foreign corporation first became a surrogate foreign corporation (as defined in section 7874(a)(2)(B)) after</w:t>
      </w:r>
      <w:r>
        <w:rPr>
          <w:spacing w:val="-11"/>
          <w:sz w:val="20"/>
        </w:rPr>
        <w:t> </w:t>
      </w:r>
      <w:r>
        <w:rPr>
          <w:sz w:val="20"/>
        </w:rPr>
        <w:t>December</w:t>
      </w:r>
      <w:r>
        <w:rPr>
          <w:spacing w:val="-11"/>
          <w:sz w:val="20"/>
        </w:rPr>
        <w:t> </w:t>
      </w:r>
      <w:r>
        <w:rPr>
          <w:sz w:val="20"/>
        </w:rPr>
        <w:t>22,</w:t>
      </w:r>
      <w:r>
        <w:rPr>
          <w:spacing w:val="-11"/>
          <w:sz w:val="20"/>
        </w:rPr>
        <w:t> </w:t>
      </w:r>
      <w:r>
        <w:rPr>
          <w:sz w:val="20"/>
        </w:rPr>
        <w:t>2017,</w:t>
      </w:r>
      <w:r>
        <w:rPr>
          <w:spacing w:val="-11"/>
          <w:sz w:val="20"/>
        </w:rPr>
        <w:t> </w:t>
      </w:r>
      <w:r>
        <w:rPr>
          <w:sz w:val="20"/>
        </w:rPr>
        <w:t>but</w:t>
      </w:r>
      <w:r>
        <w:rPr>
          <w:spacing w:val="-11"/>
          <w:sz w:val="20"/>
        </w:rPr>
        <w:t> </w:t>
      </w:r>
      <w:r>
        <w:rPr>
          <w:sz w:val="20"/>
        </w:rPr>
        <w:t>is</w:t>
      </w:r>
      <w:r>
        <w:rPr>
          <w:spacing w:val="-11"/>
          <w:sz w:val="20"/>
        </w:rPr>
        <w:t> </w:t>
      </w:r>
      <w:r>
        <w:rPr>
          <w:sz w:val="20"/>
        </w:rPr>
        <w:t>not</w:t>
      </w:r>
      <w:r>
        <w:rPr>
          <w:spacing w:val="-11"/>
          <w:sz w:val="20"/>
        </w:rPr>
        <w:t> </w:t>
      </w:r>
      <w:r>
        <w:rPr>
          <w:sz w:val="20"/>
        </w:rPr>
        <w:t>treated</w:t>
      </w:r>
      <w:r>
        <w:rPr>
          <w:spacing w:val="-11"/>
          <w:sz w:val="20"/>
        </w:rPr>
        <w:t> </w:t>
      </w:r>
      <w:r>
        <w:rPr>
          <w:sz w:val="20"/>
        </w:rPr>
        <w:t>as</w:t>
      </w:r>
      <w:r>
        <w:rPr>
          <w:spacing w:val="-11"/>
          <w:sz w:val="20"/>
        </w:rPr>
        <w:t> </w:t>
      </w:r>
      <w:r>
        <w:rPr>
          <w:sz w:val="20"/>
        </w:rPr>
        <w:t>a</w:t>
      </w:r>
      <w:r>
        <w:rPr>
          <w:spacing w:val="-11"/>
          <w:sz w:val="20"/>
        </w:rPr>
        <w:t> </w:t>
      </w:r>
      <w:r>
        <w:rPr>
          <w:sz w:val="20"/>
        </w:rPr>
        <w:t>domestic corporation under section 7874(b).</w:t>
      </w:r>
    </w:p>
    <w:p>
      <w:pPr>
        <w:spacing w:line="232" w:lineRule="auto" w:before="124"/>
        <w:ind w:left="815" w:right="119"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1712">
                <wp:simplePos x="0" y="0"/>
                <wp:positionH relativeFrom="page">
                  <wp:posOffset>4000500</wp:posOffset>
                </wp:positionH>
                <wp:positionV relativeFrom="paragraph">
                  <wp:posOffset>100244</wp:posOffset>
                </wp:positionV>
                <wp:extent cx="387350" cy="3873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87350" cy="387350"/>
                          <a:chExt cx="387350" cy="387350"/>
                        </a:xfrm>
                      </wpg:grpSpPr>
                      <wps:wsp>
                        <wps:cNvPr id="26" name="Graphic 26"/>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28" name="Textbox 28"/>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7.893277pt;width:30.5pt;height:30.5pt;mso-position-horizontal-relative:page;mso-position-vertical-relative:paragraph;z-index:15731712" id="docshapegroup24" coordorigin="6300,158" coordsize="610,610">
                <v:shape style="position:absolute;left:6300;top:157;width:610;height:610" id="docshape25" coordorigin="6300,158" coordsize="610,610" path="m6871,158l6338,158,6323,161,6311,169,6303,181,6300,196,6300,729,6303,744,6311,756,6323,764,6338,767,6871,767,6886,764,6898,756,6906,744,6909,729,6909,196,6906,181,6898,169,6886,161,6871,158xe" filled="true" fillcolor="#000000" stroked="false">
                  <v:path arrowok="t"/>
                  <v:fill type="solid"/>
                </v:shape>
                <v:shape style="position:absolute;left:6350;top:208;width:508;height:508" id="docshape26" coordorigin="6351,209" coordsize="508,508" path="m6605,209l6537,218,6477,243,6425,283,6385,334,6360,395,6351,462,6360,530,6385,591,6425,642,6477,682,6537,707,6605,716,6672,707,6733,682,6784,642,6824,591,6849,530,6858,462,6849,395,6824,334,6784,283,6733,243,6672,218,6605,209xe" filled="true" fillcolor="#ffffff" stroked="false">
                  <v:path arrowok="t"/>
                  <v:fill type="solid"/>
                </v:shape>
                <v:shape style="position:absolute;left:6300;top:157;width:610;height:610" type="#_x0000_t202" id="docshape27"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sz w:val="20"/>
        </w:rPr>
        <w:t>For</w:t>
      </w:r>
      <w:r>
        <w:rPr>
          <w:rFonts w:ascii="Arial"/>
          <w:i/>
          <w:spacing w:val="-10"/>
          <w:sz w:val="20"/>
        </w:rPr>
        <w:t> </w:t>
      </w:r>
      <w:r>
        <w:rPr>
          <w:rFonts w:ascii="Arial"/>
          <w:i/>
          <w:sz w:val="20"/>
        </w:rPr>
        <w:t>guidance</w:t>
      </w:r>
      <w:r>
        <w:rPr>
          <w:rFonts w:ascii="Arial"/>
          <w:i/>
          <w:spacing w:val="-10"/>
          <w:sz w:val="20"/>
        </w:rPr>
        <w:t> </w:t>
      </w:r>
      <w:r>
        <w:rPr>
          <w:rFonts w:ascii="Arial"/>
          <w:i/>
          <w:sz w:val="20"/>
        </w:rPr>
        <w:t>on</w:t>
      </w:r>
      <w:r>
        <w:rPr>
          <w:rFonts w:ascii="Arial"/>
          <w:i/>
          <w:spacing w:val="-10"/>
          <w:sz w:val="20"/>
        </w:rPr>
        <w:t> </w:t>
      </w:r>
      <w:r>
        <w:rPr>
          <w:rFonts w:ascii="Arial"/>
          <w:i/>
          <w:sz w:val="20"/>
        </w:rPr>
        <w:t>the</w:t>
      </w:r>
      <w:r>
        <w:rPr>
          <w:rFonts w:ascii="Arial"/>
          <w:i/>
          <w:spacing w:val="-10"/>
          <w:sz w:val="20"/>
        </w:rPr>
        <w:t> </w:t>
      </w:r>
      <w:r>
        <w:rPr>
          <w:rFonts w:ascii="Arial"/>
          <w:i/>
          <w:sz w:val="20"/>
        </w:rPr>
        <w:t>extent</w:t>
      </w:r>
      <w:r>
        <w:rPr>
          <w:rFonts w:ascii="Arial"/>
          <w:i/>
          <w:spacing w:val="-10"/>
          <w:sz w:val="20"/>
        </w:rPr>
        <w:t> </w:t>
      </w:r>
      <w:r>
        <w:rPr>
          <w:rFonts w:ascii="Arial"/>
          <w:i/>
          <w:sz w:val="20"/>
        </w:rPr>
        <w:t>to</w:t>
      </w:r>
      <w:r>
        <w:rPr>
          <w:rFonts w:ascii="Arial"/>
          <w:i/>
          <w:spacing w:val="-10"/>
          <w:sz w:val="20"/>
        </w:rPr>
        <w:t> </w:t>
      </w:r>
      <w:r>
        <w:rPr>
          <w:rFonts w:ascii="Arial"/>
          <w:i/>
          <w:sz w:val="20"/>
        </w:rPr>
        <w:t>which</w:t>
      </w:r>
      <w:r>
        <w:rPr>
          <w:rFonts w:ascii="Arial"/>
          <w:i/>
          <w:spacing w:val="-10"/>
          <w:sz w:val="20"/>
        </w:rPr>
        <w:t> </w:t>
      </w:r>
      <w:r>
        <w:rPr>
          <w:rFonts w:ascii="Arial"/>
          <w:i/>
          <w:sz w:val="20"/>
        </w:rPr>
        <w:t>distributions, inclusions, and other amounts received by, or included</w:t>
      </w:r>
      <w:r>
        <w:rPr>
          <w:rFonts w:ascii="Arial"/>
          <w:i/>
          <w:spacing w:val="-14"/>
          <w:sz w:val="20"/>
        </w:rPr>
        <w:t> </w:t>
      </w:r>
      <w:r>
        <w:rPr>
          <w:rFonts w:ascii="Arial"/>
          <w:i/>
          <w:sz w:val="20"/>
        </w:rPr>
        <w:t>in</w:t>
      </w:r>
      <w:r>
        <w:rPr>
          <w:rFonts w:ascii="Arial"/>
          <w:i/>
          <w:spacing w:val="-14"/>
          <w:sz w:val="20"/>
        </w:rPr>
        <w:t> </w:t>
      </w:r>
      <w:r>
        <w:rPr>
          <w:rFonts w:ascii="Arial"/>
          <w:i/>
          <w:sz w:val="20"/>
        </w:rPr>
        <w:t>the</w:t>
      </w:r>
      <w:r>
        <w:rPr>
          <w:rFonts w:ascii="Arial"/>
          <w:i/>
          <w:spacing w:val="-14"/>
          <w:sz w:val="20"/>
        </w:rPr>
        <w:t> </w:t>
      </w:r>
      <w:r>
        <w:rPr>
          <w:rFonts w:ascii="Arial"/>
          <w:i/>
          <w:sz w:val="20"/>
        </w:rPr>
        <w:t>income</w:t>
      </w:r>
      <w:r>
        <w:rPr>
          <w:rFonts w:ascii="Arial"/>
          <w:i/>
          <w:spacing w:val="-14"/>
          <w:sz w:val="20"/>
        </w:rPr>
        <w:t> </w:t>
      </w:r>
      <w:r>
        <w:rPr>
          <w:rFonts w:ascii="Arial"/>
          <w:i/>
          <w:sz w:val="20"/>
        </w:rPr>
        <w:t>of,</w:t>
      </w:r>
      <w:r>
        <w:rPr>
          <w:rFonts w:ascii="Arial"/>
          <w:i/>
          <w:spacing w:val="-14"/>
          <w:sz w:val="20"/>
        </w:rPr>
        <w:t> </w:t>
      </w:r>
      <w:r>
        <w:rPr>
          <w:rFonts w:ascii="Arial"/>
          <w:i/>
          <w:sz w:val="20"/>
        </w:rPr>
        <w:t>individual</w:t>
      </w:r>
      <w:r>
        <w:rPr>
          <w:rFonts w:ascii="Arial"/>
          <w:i/>
          <w:spacing w:val="-14"/>
          <w:sz w:val="20"/>
        </w:rPr>
        <w:t> </w:t>
      </w:r>
      <w:r>
        <w:rPr>
          <w:rFonts w:ascii="Arial"/>
          <w:i/>
          <w:sz w:val="20"/>
        </w:rPr>
        <w:t>shareholders</w:t>
      </w:r>
    </w:p>
    <w:p>
      <w:pPr>
        <w:spacing w:line="232" w:lineRule="auto" w:before="3"/>
        <w:ind w:left="119" w:right="0" w:firstLine="0"/>
        <w:jc w:val="left"/>
        <w:rPr>
          <w:rFonts w:ascii="Arial"/>
          <w:i/>
          <w:sz w:val="20"/>
        </w:rPr>
      </w:pPr>
      <w:r>
        <w:rPr>
          <w:rFonts w:ascii="Arial"/>
          <w:i/>
          <w:sz w:val="20"/>
        </w:rPr>
        <w:t>as</w:t>
      </w:r>
      <w:r>
        <w:rPr>
          <w:rFonts w:ascii="Arial"/>
          <w:i/>
          <w:spacing w:val="-7"/>
          <w:sz w:val="20"/>
        </w:rPr>
        <w:t> </w:t>
      </w:r>
      <w:r>
        <w:rPr>
          <w:rFonts w:ascii="Arial"/>
          <w:i/>
          <w:sz w:val="20"/>
        </w:rPr>
        <w:t>ordinary</w:t>
      </w:r>
      <w:r>
        <w:rPr>
          <w:rFonts w:ascii="Arial"/>
          <w:i/>
          <w:spacing w:val="-7"/>
          <w:sz w:val="20"/>
        </w:rPr>
        <w:t> </w:t>
      </w:r>
      <w:r>
        <w:rPr>
          <w:rFonts w:ascii="Arial"/>
          <w:i/>
          <w:sz w:val="20"/>
        </w:rPr>
        <w:t>income</w:t>
      </w:r>
      <w:r>
        <w:rPr>
          <w:rFonts w:ascii="Arial"/>
          <w:i/>
          <w:spacing w:val="-7"/>
          <w:sz w:val="20"/>
        </w:rPr>
        <w:t> </w:t>
      </w:r>
      <w:r>
        <w:rPr>
          <w:rFonts w:ascii="Arial"/>
          <w:i/>
          <w:sz w:val="20"/>
        </w:rPr>
        <w:t>from</w:t>
      </w:r>
      <w:r>
        <w:rPr>
          <w:rFonts w:ascii="Arial"/>
          <w:i/>
          <w:spacing w:val="-7"/>
          <w:sz w:val="20"/>
        </w:rPr>
        <w:t> </w:t>
      </w:r>
      <w:r>
        <w:rPr>
          <w:rFonts w:ascii="Arial"/>
          <w:i/>
          <w:sz w:val="20"/>
        </w:rPr>
        <w:t>foreign</w:t>
      </w:r>
      <w:r>
        <w:rPr>
          <w:rFonts w:ascii="Arial"/>
          <w:i/>
          <w:spacing w:val="-7"/>
          <w:sz w:val="20"/>
        </w:rPr>
        <w:t> </w:t>
      </w:r>
      <w:r>
        <w:rPr>
          <w:rFonts w:ascii="Arial"/>
          <w:i/>
          <w:sz w:val="20"/>
        </w:rPr>
        <w:t>corporations</w:t>
      </w:r>
      <w:r>
        <w:rPr>
          <w:rFonts w:ascii="Arial"/>
          <w:i/>
          <w:spacing w:val="-7"/>
          <w:sz w:val="20"/>
        </w:rPr>
        <w:t> </w:t>
      </w:r>
      <w:r>
        <w:rPr>
          <w:rFonts w:ascii="Arial"/>
          <w:i/>
          <w:sz w:val="20"/>
        </w:rPr>
        <w:t>subject</w:t>
      </w:r>
      <w:r>
        <w:rPr>
          <w:rFonts w:ascii="Arial"/>
          <w:i/>
          <w:spacing w:val="-7"/>
          <w:sz w:val="20"/>
        </w:rPr>
        <w:t> </w:t>
      </w:r>
      <w:r>
        <w:rPr>
          <w:rFonts w:ascii="Arial"/>
          <w:i/>
          <w:sz w:val="20"/>
        </w:rPr>
        <w:t>to certain</w:t>
      </w:r>
      <w:r>
        <w:rPr>
          <w:rFonts w:ascii="Arial"/>
          <w:i/>
          <w:spacing w:val="-14"/>
          <w:sz w:val="20"/>
        </w:rPr>
        <w:t> </w:t>
      </w:r>
      <w:r>
        <w:rPr>
          <w:rFonts w:ascii="Arial"/>
          <w:i/>
          <w:sz w:val="20"/>
        </w:rPr>
        <w:t>anti-deferral</w:t>
      </w:r>
      <w:r>
        <w:rPr>
          <w:rFonts w:ascii="Arial"/>
          <w:i/>
          <w:spacing w:val="-14"/>
          <w:sz w:val="20"/>
        </w:rPr>
        <w:t> </w:t>
      </w:r>
      <w:r>
        <w:rPr>
          <w:rFonts w:ascii="Arial"/>
          <w:i/>
          <w:sz w:val="20"/>
        </w:rPr>
        <w:t>regimes</w:t>
      </w:r>
      <w:r>
        <w:rPr>
          <w:rFonts w:ascii="Arial"/>
          <w:i/>
          <w:spacing w:val="-14"/>
          <w:sz w:val="20"/>
        </w:rPr>
        <w:t> </w:t>
      </w:r>
      <w:r>
        <w:rPr>
          <w:rFonts w:ascii="Arial"/>
          <w:i/>
          <w:sz w:val="20"/>
        </w:rPr>
        <w:t>may</w:t>
      </w:r>
      <w:r>
        <w:rPr>
          <w:rFonts w:ascii="Arial"/>
          <w:i/>
          <w:spacing w:val="-14"/>
          <w:sz w:val="20"/>
        </w:rPr>
        <w:t> </w:t>
      </w:r>
      <w:r>
        <w:rPr>
          <w:rFonts w:ascii="Arial"/>
          <w:i/>
          <w:sz w:val="20"/>
        </w:rPr>
        <w:t>be</w:t>
      </w:r>
      <w:r>
        <w:rPr>
          <w:rFonts w:ascii="Arial"/>
          <w:i/>
          <w:spacing w:val="-14"/>
          <w:sz w:val="20"/>
        </w:rPr>
        <w:t> </w:t>
      </w:r>
      <w:r>
        <w:rPr>
          <w:rFonts w:ascii="Arial"/>
          <w:i/>
          <w:sz w:val="20"/>
        </w:rPr>
        <w:t>treated</w:t>
      </w:r>
      <w:r>
        <w:rPr>
          <w:rFonts w:ascii="Arial"/>
          <w:i/>
          <w:spacing w:val="-14"/>
          <w:sz w:val="20"/>
        </w:rPr>
        <w:t> </w:t>
      </w:r>
      <w:r>
        <w:rPr>
          <w:rFonts w:ascii="Arial"/>
          <w:i/>
          <w:sz w:val="20"/>
        </w:rPr>
        <w:t>as</w:t>
      </w:r>
      <w:r>
        <w:rPr>
          <w:rFonts w:ascii="Arial"/>
          <w:i/>
          <w:spacing w:val="-14"/>
          <w:sz w:val="20"/>
        </w:rPr>
        <w:t> </w:t>
      </w:r>
      <w:r>
        <w:rPr>
          <w:rFonts w:ascii="Arial"/>
          <w:i/>
          <w:sz w:val="20"/>
        </w:rPr>
        <w:t>qualified dividends, see Notice 2004-70, 2004-44 I.R.B. 724, available at </w:t>
      </w:r>
      <w:hyperlink r:id="rId17">
        <w:r>
          <w:rPr>
            <w:rFonts w:ascii="Arial"/>
            <w:i/>
            <w:color w:val="0056A2"/>
            <w:sz w:val="20"/>
            <w:u w:val="single" w:color="0055A1"/>
          </w:rPr>
          <w:t>IRS.gov/irb/2004-44_IRB#NOT-2004-70</w:t>
        </w:r>
      </w:hyperlink>
      <w:r>
        <w:rPr>
          <w:rFonts w:ascii="Arial"/>
          <w:i/>
          <w:sz w:val="20"/>
        </w:rPr>
        <w:t>.</w:t>
      </w:r>
    </w:p>
    <w:p>
      <w:pPr>
        <w:pStyle w:val="Heading2"/>
        <w:spacing w:before="226"/>
        <w:ind w:left="119"/>
      </w:pPr>
      <w:r>
        <w:rPr>
          <w:w w:val="85"/>
        </w:rPr>
        <w:t>Section</w:t>
      </w:r>
      <w:r>
        <w:rPr>
          <w:spacing w:val="2"/>
        </w:rPr>
        <w:t> </w:t>
      </w:r>
      <w:r>
        <w:rPr>
          <w:w w:val="85"/>
        </w:rPr>
        <w:t>404(k)</w:t>
      </w:r>
      <w:r>
        <w:rPr>
          <w:spacing w:val="3"/>
        </w:rPr>
        <w:t> </w:t>
      </w:r>
      <w:r>
        <w:rPr>
          <w:spacing w:val="-2"/>
          <w:w w:val="85"/>
        </w:rPr>
        <w:t>Dividends</w:t>
      </w:r>
    </w:p>
    <w:p>
      <w:pPr>
        <w:pStyle w:val="BodyText"/>
        <w:spacing w:line="232" w:lineRule="auto" w:before="27"/>
        <w:ind w:left="119" w:right="99"/>
      </w:pPr>
      <w:r>
        <w:rPr/>
        <w:t>Report</w:t>
      </w:r>
      <w:r>
        <w:rPr>
          <w:spacing w:val="-1"/>
        </w:rPr>
        <w:t> </w:t>
      </w:r>
      <w:r>
        <w:rPr/>
        <w:t>as</w:t>
      </w:r>
      <w:r>
        <w:rPr>
          <w:spacing w:val="-1"/>
        </w:rPr>
        <w:t> </w:t>
      </w:r>
      <w:r>
        <w:rPr/>
        <w:t>ordinary</w:t>
      </w:r>
      <w:r>
        <w:rPr>
          <w:spacing w:val="-1"/>
        </w:rPr>
        <w:t> </w:t>
      </w:r>
      <w:r>
        <w:rPr/>
        <w:t>dividends</w:t>
      </w:r>
      <w:r>
        <w:rPr>
          <w:spacing w:val="-1"/>
        </w:rPr>
        <w:t> </w:t>
      </w:r>
      <w:r>
        <w:rPr/>
        <w:t>in</w:t>
      </w:r>
      <w:r>
        <w:rPr>
          <w:spacing w:val="-2"/>
        </w:rPr>
        <w:t> </w:t>
      </w:r>
      <w:hyperlink w:history="true" w:anchor="_bookmark14">
        <w:r>
          <w:rPr>
            <w:color w:val="0056A2"/>
            <w:u w:val="single" w:color="0055A1"/>
          </w:rPr>
          <w:t>box</w:t>
        </w:r>
        <w:r>
          <w:rPr>
            <w:color w:val="0056A2"/>
            <w:spacing w:val="-1"/>
            <w:u w:val="single" w:color="0055A1"/>
          </w:rPr>
          <w:t> </w:t>
        </w:r>
        <w:r>
          <w:rPr>
            <w:color w:val="0056A2"/>
            <w:u w:val="single" w:color="0055A1"/>
          </w:rPr>
          <w:t>1a</w:t>
        </w:r>
      </w:hyperlink>
      <w:r>
        <w:rPr>
          <w:color w:val="0056A2"/>
          <w:spacing w:val="-1"/>
        </w:rPr>
        <w:t> </w:t>
      </w:r>
      <w:r>
        <w:rPr/>
        <w:t>of</w:t>
      </w:r>
      <w:r>
        <w:rPr>
          <w:spacing w:val="-1"/>
        </w:rPr>
        <w:t> </w:t>
      </w:r>
      <w:r>
        <w:rPr/>
        <w:t>Form</w:t>
      </w:r>
      <w:r>
        <w:rPr>
          <w:spacing w:val="-1"/>
        </w:rPr>
        <w:t> </w:t>
      </w:r>
      <w:r>
        <w:rPr/>
        <w:t>1099-DIV payments</w:t>
      </w:r>
      <w:r>
        <w:rPr>
          <w:spacing w:val="-14"/>
        </w:rPr>
        <w:t> </w:t>
      </w:r>
      <w:r>
        <w:rPr/>
        <w:t>of</w:t>
      </w:r>
      <w:r>
        <w:rPr>
          <w:spacing w:val="-14"/>
        </w:rPr>
        <w:t> </w:t>
      </w:r>
      <w:r>
        <w:rPr/>
        <w:t>404(k)</w:t>
      </w:r>
      <w:r>
        <w:rPr>
          <w:spacing w:val="-13"/>
        </w:rPr>
        <w:t> </w:t>
      </w:r>
      <w:r>
        <w:rPr/>
        <w:t>dividends</w:t>
      </w:r>
      <w:r>
        <w:rPr>
          <w:spacing w:val="-14"/>
        </w:rPr>
        <w:t> </w:t>
      </w:r>
      <w:r>
        <w:rPr/>
        <w:t>directly</w:t>
      </w:r>
      <w:r>
        <w:rPr>
          <w:spacing w:val="-14"/>
        </w:rPr>
        <w:t> </w:t>
      </w:r>
      <w:r>
        <w:rPr/>
        <w:t>from</w:t>
      </w:r>
      <w:r>
        <w:rPr>
          <w:spacing w:val="-13"/>
        </w:rPr>
        <w:t> </w:t>
      </w:r>
      <w:r>
        <w:rPr/>
        <w:t>the</w:t>
      </w:r>
      <w:r>
        <w:rPr>
          <w:spacing w:val="-14"/>
        </w:rPr>
        <w:t> </w:t>
      </w:r>
      <w:r>
        <w:rPr/>
        <w:t>corporation to the plan participants or their beneficiaries.</w:t>
      </w:r>
    </w:p>
    <w:p>
      <w:pPr>
        <w:pStyle w:val="BodyText"/>
        <w:spacing w:line="232" w:lineRule="auto" w:before="79"/>
        <w:ind w:left="119" w:right="227" w:firstLine="240"/>
      </w:pPr>
      <w:r>
        <w:rPr/>
        <w:t>Section 404(k) dividends are not subject to backup withholding.</w:t>
      </w:r>
      <w:r>
        <w:rPr>
          <w:spacing w:val="-14"/>
        </w:rPr>
        <w:t> </w:t>
      </w:r>
      <w:r>
        <w:rPr/>
        <w:t>Also,</w:t>
      </w:r>
      <w:r>
        <w:rPr>
          <w:spacing w:val="-14"/>
        </w:rPr>
        <w:t> </w:t>
      </w:r>
      <w:r>
        <w:rPr/>
        <w:t>these</w:t>
      </w:r>
      <w:r>
        <w:rPr>
          <w:spacing w:val="-14"/>
        </w:rPr>
        <w:t> </w:t>
      </w:r>
      <w:r>
        <w:rPr/>
        <w:t>dividends</w:t>
      </w:r>
      <w:r>
        <w:rPr>
          <w:spacing w:val="-14"/>
        </w:rPr>
        <w:t> </w:t>
      </w:r>
      <w:r>
        <w:rPr/>
        <w:t>are</w:t>
      </w:r>
      <w:r>
        <w:rPr>
          <w:spacing w:val="-13"/>
        </w:rPr>
        <w:t> </w:t>
      </w:r>
      <w:r>
        <w:rPr/>
        <w:t>not</w:t>
      </w:r>
      <w:r>
        <w:rPr>
          <w:spacing w:val="-14"/>
        </w:rPr>
        <w:t> </w:t>
      </w:r>
      <w:r>
        <w:rPr/>
        <w:t>eligible</w:t>
      </w:r>
      <w:r>
        <w:rPr>
          <w:spacing w:val="-14"/>
        </w:rPr>
        <w:t> </w:t>
      </w:r>
      <w:r>
        <w:rPr/>
        <w:t>for</w:t>
      </w:r>
      <w:r>
        <w:rPr>
          <w:spacing w:val="-14"/>
        </w:rPr>
        <w:t> </w:t>
      </w:r>
      <w:r>
        <w:rPr/>
        <w:t>the reduced capital gains rates (see </w:t>
      </w:r>
      <w:hyperlink w:history="true" w:anchor="_bookmark2">
        <w:r>
          <w:rPr>
            <w:rFonts w:ascii="Arial"/>
            <w:i/>
            <w:color w:val="0056A2"/>
            <w:u w:val="single" w:color="0055A1"/>
          </w:rPr>
          <w:t>Exceptions</w:t>
        </w:r>
      </w:hyperlink>
      <w:r>
        <w:rPr>
          <w:rFonts w:ascii="Arial"/>
          <w:i/>
          <w:color w:val="0056A2"/>
        </w:rPr>
        <w:t> </w:t>
      </w:r>
      <w:r>
        <w:rPr/>
        <w:t>under </w:t>
      </w:r>
      <w:hyperlink w:history="true" w:anchor="_bookmark1">
        <w:r>
          <w:rPr>
            <w:rFonts w:ascii="Arial"/>
            <w:i/>
            <w:color w:val="0056A2"/>
            <w:u w:val="single" w:color="0055A1"/>
          </w:rPr>
          <w:t>Qualified Dividends</w:t>
        </w:r>
      </w:hyperlink>
      <w:r>
        <w:rPr/>
        <w:t>, earlier).</w:t>
      </w:r>
    </w:p>
    <w:p>
      <w:pPr>
        <w:pStyle w:val="Heading2"/>
        <w:spacing w:before="126"/>
        <w:ind w:left="119"/>
      </w:pPr>
      <w:r>
        <w:rPr>
          <w:w w:val="90"/>
        </w:rPr>
        <w:t>RICs</w:t>
      </w:r>
      <w:r>
        <w:rPr>
          <w:spacing w:val="-11"/>
          <w:w w:val="90"/>
        </w:rPr>
        <w:t> </w:t>
      </w:r>
      <w:r>
        <w:rPr>
          <w:w w:val="90"/>
        </w:rPr>
        <w:t>and</w:t>
      </w:r>
      <w:r>
        <w:rPr>
          <w:spacing w:val="-10"/>
          <w:w w:val="90"/>
        </w:rPr>
        <w:t> </w:t>
      </w:r>
      <w:r>
        <w:rPr>
          <w:spacing w:val="-2"/>
          <w:w w:val="90"/>
        </w:rPr>
        <w:t>REITs</w:t>
      </w:r>
    </w:p>
    <w:p>
      <w:pPr>
        <w:pStyle w:val="BodyText"/>
        <w:spacing w:line="223" w:lineRule="auto" w:before="65"/>
        <w:ind w:left="119" w:right="99"/>
      </w:pPr>
      <w:r>
        <w:rPr>
          <w:rFonts w:ascii="Arial Black"/>
        </w:rPr>
        <w:t>Qualified</w:t>
      </w:r>
      <w:r>
        <w:rPr>
          <w:rFonts w:ascii="Arial Black"/>
          <w:spacing w:val="-17"/>
        </w:rPr>
        <w:t> </w:t>
      </w:r>
      <w:r>
        <w:rPr>
          <w:rFonts w:ascii="Arial Black"/>
        </w:rPr>
        <w:t>dividends.</w:t>
      </w:r>
      <w:r>
        <w:rPr>
          <w:rFonts w:ascii="Arial Black"/>
          <w:spacing w:val="-3"/>
        </w:rPr>
        <w:t> </w:t>
      </w:r>
      <w:r>
        <w:rPr/>
        <w:t>If</w:t>
      </w:r>
      <w:r>
        <w:rPr>
          <w:spacing w:val="-14"/>
        </w:rPr>
        <w:t> </w:t>
      </w:r>
      <w:r>
        <w:rPr/>
        <w:t>any</w:t>
      </w:r>
      <w:r>
        <w:rPr>
          <w:spacing w:val="-14"/>
        </w:rPr>
        <w:t> </w:t>
      </w:r>
      <w:r>
        <w:rPr/>
        <w:t>part</w:t>
      </w:r>
      <w:r>
        <w:rPr>
          <w:spacing w:val="-14"/>
        </w:rPr>
        <w:t> </w:t>
      </w:r>
      <w:r>
        <w:rPr/>
        <w:t>of</w:t>
      </w:r>
      <w:r>
        <w:rPr>
          <w:spacing w:val="-14"/>
        </w:rPr>
        <w:t> </w:t>
      </w:r>
      <w:r>
        <w:rPr/>
        <w:t>the</w:t>
      </w:r>
      <w:r>
        <w:rPr>
          <w:spacing w:val="-14"/>
        </w:rPr>
        <w:t> </w:t>
      </w:r>
      <w:r>
        <w:rPr/>
        <w:t>total</w:t>
      </w:r>
      <w:r>
        <w:rPr>
          <w:spacing w:val="-14"/>
        </w:rPr>
        <w:t> </w:t>
      </w:r>
      <w:r>
        <w:rPr/>
        <w:t>ordinary dividends</w:t>
      </w:r>
      <w:r>
        <w:rPr>
          <w:spacing w:val="-11"/>
        </w:rPr>
        <w:t> </w:t>
      </w:r>
      <w:r>
        <w:rPr/>
        <w:t>reported</w:t>
      </w:r>
      <w:r>
        <w:rPr>
          <w:spacing w:val="-11"/>
        </w:rPr>
        <w:t> </w:t>
      </w:r>
      <w:r>
        <w:rPr/>
        <w:t>in</w:t>
      </w:r>
      <w:r>
        <w:rPr>
          <w:spacing w:val="-12"/>
        </w:rPr>
        <w:t> </w:t>
      </w:r>
      <w:hyperlink w:history="true" w:anchor="_bookmark14">
        <w:r>
          <w:rPr>
            <w:color w:val="0056A2"/>
            <w:u w:val="single" w:color="0055A1"/>
          </w:rPr>
          <w:t>box</w:t>
        </w:r>
        <w:r>
          <w:rPr>
            <w:color w:val="0056A2"/>
            <w:spacing w:val="-11"/>
            <w:u w:val="single" w:color="0055A1"/>
          </w:rPr>
          <w:t> </w:t>
        </w:r>
        <w:r>
          <w:rPr>
            <w:color w:val="0056A2"/>
            <w:u w:val="single" w:color="0055A1"/>
          </w:rPr>
          <w:t>1a</w:t>
        </w:r>
      </w:hyperlink>
      <w:r>
        <w:rPr>
          <w:color w:val="0056A2"/>
          <w:spacing w:val="-11"/>
        </w:rPr>
        <w:t> </w:t>
      </w:r>
      <w:r>
        <w:rPr/>
        <w:t>is</w:t>
      </w:r>
      <w:r>
        <w:rPr>
          <w:spacing w:val="-11"/>
        </w:rPr>
        <w:t> </w:t>
      </w:r>
      <w:r>
        <w:rPr/>
        <w:t>qualified</w:t>
      </w:r>
      <w:r>
        <w:rPr>
          <w:spacing w:val="-11"/>
        </w:rPr>
        <w:t> </w:t>
      </w:r>
      <w:r>
        <w:rPr/>
        <w:t>dividends,</w:t>
      </w:r>
      <w:r>
        <w:rPr>
          <w:spacing w:val="-11"/>
        </w:rPr>
        <w:t> </w:t>
      </w:r>
      <w:r>
        <w:rPr/>
        <w:t>report the qualified dividends in </w:t>
      </w:r>
      <w:hyperlink w:history="true" w:anchor="_bookmark7">
        <w:r>
          <w:rPr>
            <w:color w:val="0056A2"/>
            <w:u w:val="single" w:color="0055A1"/>
          </w:rPr>
          <w:t>box 1b</w:t>
        </w:r>
      </w:hyperlink>
      <w:r>
        <w:rPr/>
        <w:t>.</w:t>
      </w:r>
    </w:p>
    <w:p>
      <w:pPr>
        <w:spacing w:line="232" w:lineRule="auto" w:before="104"/>
        <w:ind w:left="815"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2224">
                <wp:simplePos x="0" y="0"/>
                <wp:positionH relativeFrom="page">
                  <wp:posOffset>4000500</wp:posOffset>
                </wp:positionH>
                <wp:positionV relativeFrom="paragraph">
                  <wp:posOffset>87772</wp:posOffset>
                </wp:positionV>
                <wp:extent cx="387350" cy="3873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387350" cy="387350"/>
                          <a:chExt cx="387350" cy="387350"/>
                        </a:xfrm>
                      </wpg:grpSpPr>
                      <wps:wsp>
                        <wps:cNvPr id="30" name="Graphic 30"/>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32" name="Textbox 32"/>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6.911204pt;width:30.5pt;height:30.5pt;mso-position-horizontal-relative:page;mso-position-vertical-relative:paragraph;z-index:15732224" id="docshapegroup28" coordorigin="6300,138" coordsize="610,610">
                <v:shape style="position:absolute;left:6300;top:138;width:610;height:610" id="docshape29" coordorigin="6300,138" coordsize="610,610" path="m6871,138l6338,138,6323,141,6311,149,6303,161,6300,176,6300,709,6303,724,6311,736,6323,744,6338,747,6871,747,6886,744,6898,736,6906,724,6909,709,6909,176,6906,161,6898,149,6886,141,6871,138xe" filled="true" fillcolor="#000000" stroked="false">
                  <v:path arrowok="t"/>
                  <v:fill type="solid"/>
                </v:shape>
                <v:shape style="position:absolute;left:6350;top:189;width:508;height:508" id="docshape30" coordorigin="6351,189" coordsize="508,508" path="m6605,189l6537,198,6477,224,6425,263,6385,315,6360,375,6351,443,6360,510,6385,571,6425,622,6477,662,6537,688,6605,697,6672,688,6733,662,6784,622,6824,571,6849,510,6858,443,6849,375,6824,315,6784,263,6733,224,6672,198,6605,189xe" filled="true" fillcolor="#ffffff" stroked="false">
                  <v:path arrowok="t"/>
                  <v:fill type="solid"/>
                </v:shape>
                <v:shape style="position:absolute;left:6300;top:138;width:610;height:610" type="#_x0000_t202" id="docshape31"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sz w:val="20"/>
        </w:rPr>
        <w:t>For</w:t>
      </w:r>
      <w:r>
        <w:rPr>
          <w:rFonts w:ascii="Arial"/>
          <w:i/>
          <w:spacing w:val="-14"/>
          <w:sz w:val="20"/>
        </w:rPr>
        <w:t> </w:t>
      </w:r>
      <w:r>
        <w:rPr>
          <w:rFonts w:ascii="Arial"/>
          <w:i/>
          <w:sz w:val="20"/>
        </w:rPr>
        <w:t>guidance</w:t>
      </w:r>
      <w:r>
        <w:rPr>
          <w:rFonts w:ascii="Arial"/>
          <w:i/>
          <w:spacing w:val="-14"/>
          <w:sz w:val="20"/>
        </w:rPr>
        <w:t> </w:t>
      </w:r>
      <w:r>
        <w:rPr>
          <w:rFonts w:ascii="Arial"/>
          <w:i/>
          <w:sz w:val="20"/>
        </w:rPr>
        <w:t>pertaining</w:t>
      </w:r>
      <w:r>
        <w:rPr>
          <w:rFonts w:ascii="Arial"/>
          <w:i/>
          <w:spacing w:val="-14"/>
          <w:sz w:val="20"/>
        </w:rPr>
        <w:t> </w:t>
      </w:r>
      <w:r>
        <w:rPr>
          <w:rFonts w:ascii="Arial"/>
          <w:i/>
          <w:sz w:val="20"/>
        </w:rPr>
        <w:t>to</w:t>
      </w:r>
      <w:r>
        <w:rPr>
          <w:rFonts w:ascii="Arial"/>
          <w:i/>
          <w:spacing w:val="-13"/>
          <w:sz w:val="20"/>
        </w:rPr>
        <w:t> </w:t>
      </w:r>
      <w:r>
        <w:rPr>
          <w:rFonts w:ascii="Arial"/>
          <w:i/>
          <w:sz w:val="20"/>
        </w:rPr>
        <w:t>dividends</w:t>
      </w:r>
      <w:r>
        <w:rPr>
          <w:rFonts w:ascii="Arial"/>
          <w:i/>
          <w:spacing w:val="-14"/>
          <w:sz w:val="20"/>
        </w:rPr>
        <w:t> </w:t>
      </w:r>
      <w:r>
        <w:rPr>
          <w:rFonts w:ascii="Arial"/>
          <w:i/>
          <w:sz w:val="20"/>
        </w:rPr>
        <w:t>of</w:t>
      </w:r>
      <w:r>
        <w:rPr>
          <w:rFonts w:ascii="Arial"/>
          <w:i/>
          <w:spacing w:val="-14"/>
          <w:sz w:val="20"/>
        </w:rPr>
        <w:t> </w:t>
      </w:r>
      <w:r>
        <w:rPr>
          <w:rFonts w:ascii="Arial"/>
          <w:i/>
          <w:sz w:val="20"/>
        </w:rPr>
        <w:t>RICs</w:t>
      </w:r>
      <w:r>
        <w:rPr>
          <w:rFonts w:ascii="Arial"/>
          <w:i/>
          <w:spacing w:val="-14"/>
          <w:sz w:val="20"/>
        </w:rPr>
        <w:t> </w:t>
      </w:r>
      <w:r>
        <w:rPr>
          <w:rFonts w:ascii="Arial"/>
          <w:i/>
          <w:sz w:val="20"/>
        </w:rPr>
        <w:t>and REITs, see Notice 2004-39, 2004-22 I.R.B. 982</w:t>
      </w:r>
    </w:p>
    <w:p>
      <w:pPr>
        <w:spacing w:line="232" w:lineRule="auto" w:before="2"/>
        <w:ind w:left="119" w:right="0" w:firstLine="696"/>
        <w:jc w:val="left"/>
        <w:rPr>
          <w:rFonts w:ascii="Arial"/>
          <w:i/>
          <w:sz w:val="20"/>
        </w:rPr>
      </w:pPr>
      <w:r>
        <w:rPr>
          <w:rFonts w:ascii="Arial"/>
          <w:i/>
          <w:sz w:val="20"/>
        </w:rPr>
        <w:t>(capital gain dividends of RICs and REITs), available at </w:t>
      </w:r>
      <w:hyperlink r:id="rId18">
        <w:r>
          <w:rPr>
            <w:rFonts w:ascii="Arial"/>
            <w:i/>
            <w:color w:val="0056A2"/>
            <w:sz w:val="20"/>
            <w:u w:val="single" w:color="0055A1"/>
          </w:rPr>
          <w:t>IRS.gov/irb/2004-22_IRB#NOT-2004-39</w:t>
        </w:r>
      </w:hyperlink>
      <w:r>
        <w:rPr>
          <w:rFonts w:ascii="Arial"/>
          <w:i/>
          <w:sz w:val="20"/>
        </w:rPr>
        <w:t>, modified</w:t>
      </w:r>
      <w:r>
        <w:rPr>
          <w:rFonts w:ascii="Arial"/>
          <w:i/>
          <w:spacing w:val="-13"/>
          <w:sz w:val="20"/>
        </w:rPr>
        <w:t> </w:t>
      </w:r>
      <w:r>
        <w:rPr>
          <w:rFonts w:ascii="Arial"/>
          <w:i/>
          <w:sz w:val="20"/>
        </w:rPr>
        <w:t>by</w:t>
      </w:r>
      <w:r>
        <w:rPr>
          <w:rFonts w:ascii="Arial"/>
          <w:i/>
          <w:spacing w:val="-13"/>
          <w:sz w:val="20"/>
        </w:rPr>
        <w:t> </w:t>
      </w:r>
      <w:r>
        <w:rPr>
          <w:rFonts w:ascii="Arial"/>
          <w:i/>
          <w:sz w:val="20"/>
        </w:rPr>
        <w:t>Notice</w:t>
      </w:r>
      <w:r>
        <w:rPr>
          <w:rFonts w:ascii="Arial"/>
          <w:i/>
          <w:spacing w:val="-13"/>
          <w:sz w:val="20"/>
        </w:rPr>
        <w:t> </w:t>
      </w:r>
      <w:r>
        <w:rPr>
          <w:rFonts w:ascii="Arial"/>
          <w:i/>
          <w:sz w:val="20"/>
        </w:rPr>
        <w:t>2015-41,</w:t>
      </w:r>
      <w:r>
        <w:rPr>
          <w:rFonts w:ascii="Arial"/>
          <w:i/>
          <w:spacing w:val="-13"/>
          <w:sz w:val="20"/>
        </w:rPr>
        <w:t> </w:t>
      </w:r>
      <w:r>
        <w:rPr>
          <w:rFonts w:ascii="Arial"/>
          <w:i/>
          <w:sz w:val="20"/>
        </w:rPr>
        <w:t>2015-24</w:t>
      </w:r>
      <w:r>
        <w:rPr>
          <w:rFonts w:ascii="Arial"/>
          <w:i/>
          <w:spacing w:val="-13"/>
          <w:sz w:val="20"/>
        </w:rPr>
        <w:t> </w:t>
      </w:r>
      <w:r>
        <w:rPr>
          <w:rFonts w:ascii="Arial"/>
          <w:i/>
          <w:sz w:val="20"/>
        </w:rPr>
        <w:t>I.R.B.</w:t>
      </w:r>
      <w:r>
        <w:rPr>
          <w:rFonts w:ascii="Arial"/>
          <w:i/>
          <w:spacing w:val="-13"/>
          <w:sz w:val="20"/>
        </w:rPr>
        <w:t> </w:t>
      </w:r>
      <w:r>
        <w:rPr>
          <w:rFonts w:ascii="Arial"/>
          <w:i/>
          <w:sz w:val="20"/>
        </w:rPr>
        <w:t>1058</w:t>
      </w:r>
      <w:r>
        <w:rPr>
          <w:rFonts w:ascii="Arial"/>
          <w:i/>
          <w:spacing w:val="-13"/>
          <w:sz w:val="20"/>
        </w:rPr>
        <w:t> </w:t>
      </w:r>
      <w:r>
        <w:rPr>
          <w:rFonts w:ascii="Arial"/>
          <w:i/>
          <w:sz w:val="20"/>
        </w:rPr>
        <w:t>(capital gain distributions of RICs), available at </w:t>
      </w:r>
      <w:hyperlink r:id="rId19">
        <w:r>
          <w:rPr>
            <w:rFonts w:ascii="Arial"/>
            <w:i/>
            <w:color w:val="0056A2"/>
            <w:sz w:val="20"/>
            <w:u w:val="single" w:color="0055A1"/>
          </w:rPr>
          <w:t>IRS.gov/irb/</w:t>
        </w:r>
      </w:hyperlink>
    </w:p>
    <w:p>
      <w:pPr>
        <w:spacing w:line="225" w:lineRule="exact" w:before="0"/>
        <w:ind w:left="119" w:right="0" w:firstLine="0"/>
        <w:jc w:val="left"/>
        <w:rPr>
          <w:rFonts w:ascii="Arial"/>
          <w:i/>
          <w:sz w:val="20"/>
        </w:rPr>
      </w:pPr>
      <w:hyperlink r:id="rId19">
        <w:r>
          <w:rPr>
            <w:rFonts w:ascii="Arial"/>
            <w:i/>
            <w:color w:val="0056A2"/>
            <w:spacing w:val="-2"/>
            <w:sz w:val="20"/>
            <w:u w:val="single" w:color="0055A1"/>
          </w:rPr>
          <w:t>2015-24_IRB#NOT-2015-41</w:t>
        </w:r>
      </w:hyperlink>
      <w:r>
        <w:rPr>
          <w:rFonts w:ascii="Arial"/>
          <w:i/>
          <w:spacing w:val="-2"/>
          <w:sz w:val="20"/>
        </w:rPr>
        <w:t>;</w:t>
      </w:r>
      <w:r>
        <w:rPr>
          <w:rFonts w:ascii="Arial"/>
          <w:i/>
          <w:spacing w:val="-12"/>
          <w:sz w:val="20"/>
        </w:rPr>
        <w:t> </w:t>
      </w:r>
      <w:r>
        <w:rPr>
          <w:rFonts w:ascii="Arial"/>
          <w:i/>
          <w:spacing w:val="-2"/>
          <w:sz w:val="20"/>
        </w:rPr>
        <w:t>and</w:t>
      </w:r>
      <w:r>
        <w:rPr>
          <w:rFonts w:ascii="Arial"/>
          <w:i/>
          <w:spacing w:val="-12"/>
          <w:sz w:val="20"/>
        </w:rPr>
        <w:t> </w:t>
      </w:r>
      <w:r>
        <w:rPr>
          <w:rFonts w:ascii="Arial"/>
          <w:i/>
          <w:spacing w:val="-2"/>
          <w:sz w:val="20"/>
        </w:rPr>
        <w:t>Rev.</w:t>
      </w:r>
      <w:r>
        <w:rPr>
          <w:rFonts w:ascii="Arial"/>
          <w:i/>
          <w:spacing w:val="-11"/>
          <w:sz w:val="20"/>
        </w:rPr>
        <w:t> </w:t>
      </w:r>
      <w:r>
        <w:rPr>
          <w:rFonts w:ascii="Arial"/>
          <w:i/>
          <w:spacing w:val="-2"/>
          <w:sz w:val="20"/>
        </w:rPr>
        <w:t>Rul.</w:t>
      </w:r>
      <w:r>
        <w:rPr>
          <w:rFonts w:ascii="Arial"/>
          <w:i/>
          <w:spacing w:val="-12"/>
          <w:sz w:val="20"/>
        </w:rPr>
        <w:t> </w:t>
      </w:r>
      <w:r>
        <w:rPr>
          <w:rFonts w:ascii="Arial"/>
          <w:i/>
          <w:spacing w:val="-2"/>
          <w:sz w:val="20"/>
        </w:rPr>
        <w:t>2005-</w:t>
      </w:r>
      <w:r>
        <w:rPr>
          <w:rFonts w:ascii="Arial"/>
          <w:i/>
          <w:spacing w:val="-5"/>
          <w:sz w:val="20"/>
        </w:rPr>
        <w:t>31,</w:t>
      </w:r>
    </w:p>
    <w:p>
      <w:pPr>
        <w:spacing w:line="232" w:lineRule="auto" w:before="3"/>
        <w:ind w:left="119" w:right="0" w:firstLine="0"/>
        <w:jc w:val="left"/>
        <w:rPr>
          <w:rFonts w:ascii="Arial"/>
          <w:i/>
          <w:sz w:val="20"/>
        </w:rPr>
      </w:pPr>
      <w:r>
        <w:rPr>
          <w:rFonts w:ascii="Arial"/>
          <w:i/>
          <w:sz w:val="20"/>
        </w:rPr>
        <w:t>2005-21</w:t>
      </w:r>
      <w:r>
        <w:rPr>
          <w:rFonts w:ascii="Arial"/>
          <w:i/>
          <w:spacing w:val="-14"/>
          <w:sz w:val="20"/>
        </w:rPr>
        <w:t> </w:t>
      </w:r>
      <w:r>
        <w:rPr>
          <w:rFonts w:ascii="Arial"/>
          <w:i/>
          <w:sz w:val="20"/>
        </w:rPr>
        <w:t>I.R.B.</w:t>
      </w:r>
      <w:r>
        <w:rPr>
          <w:rFonts w:ascii="Arial"/>
          <w:i/>
          <w:spacing w:val="-14"/>
          <w:sz w:val="20"/>
        </w:rPr>
        <w:t> </w:t>
      </w:r>
      <w:r>
        <w:rPr>
          <w:rFonts w:ascii="Arial"/>
          <w:i/>
          <w:sz w:val="20"/>
        </w:rPr>
        <w:t>1084</w:t>
      </w:r>
      <w:r>
        <w:rPr>
          <w:rFonts w:ascii="Arial"/>
          <w:i/>
          <w:spacing w:val="-14"/>
          <w:sz w:val="20"/>
        </w:rPr>
        <w:t> </w:t>
      </w:r>
      <w:r>
        <w:rPr>
          <w:rFonts w:ascii="Arial"/>
          <w:i/>
          <w:sz w:val="20"/>
        </w:rPr>
        <w:t>(limitations</w:t>
      </w:r>
      <w:r>
        <w:rPr>
          <w:rFonts w:ascii="Arial"/>
          <w:i/>
          <w:spacing w:val="-14"/>
          <w:sz w:val="20"/>
        </w:rPr>
        <w:t> </w:t>
      </w:r>
      <w:r>
        <w:rPr>
          <w:rFonts w:ascii="Arial"/>
          <w:i/>
          <w:sz w:val="20"/>
        </w:rPr>
        <w:t>applicable</w:t>
      </w:r>
      <w:r>
        <w:rPr>
          <w:rFonts w:ascii="Arial"/>
          <w:i/>
          <w:spacing w:val="-14"/>
          <w:sz w:val="20"/>
        </w:rPr>
        <w:t> </w:t>
      </w:r>
      <w:r>
        <w:rPr>
          <w:rFonts w:ascii="Arial"/>
          <w:i/>
          <w:sz w:val="20"/>
        </w:rPr>
        <w:t>to</w:t>
      </w:r>
      <w:r>
        <w:rPr>
          <w:rFonts w:ascii="Arial"/>
          <w:i/>
          <w:spacing w:val="-14"/>
          <w:sz w:val="20"/>
        </w:rPr>
        <w:t> </w:t>
      </w:r>
      <w:r>
        <w:rPr>
          <w:rFonts w:ascii="Arial"/>
          <w:i/>
          <w:sz w:val="20"/>
        </w:rPr>
        <w:t>dividends received from RICs), available at </w:t>
      </w:r>
      <w:hyperlink r:id="rId20">
        <w:r>
          <w:rPr>
            <w:rFonts w:ascii="Arial"/>
            <w:i/>
            <w:color w:val="0056A2"/>
            <w:sz w:val="20"/>
            <w:u w:val="single" w:color="0055A1"/>
          </w:rPr>
          <w:t>IRS.gov/irb/</w:t>
        </w:r>
      </w:hyperlink>
    </w:p>
    <w:p>
      <w:pPr>
        <w:spacing w:line="226" w:lineRule="exact" w:before="0"/>
        <w:ind w:left="119" w:right="0" w:firstLine="0"/>
        <w:jc w:val="left"/>
        <w:rPr>
          <w:rFonts w:ascii="Arial"/>
          <w:i/>
          <w:sz w:val="20"/>
        </w:rPr>
      </w:pPr>
      <w:hyperlink r:id="rId20">
        <w:r>
          <w:rPr>
            <w:rFonts w:ascii="Arial"/>
            <w:i/>
            <w:color w:val="0056A2"/>
            <w:spacing w:val="-4"/>
            <w:sz w:val="20"/>
            <w:u w:val="single" w:color="0055A1"/>
          </w:rPr>
          <w:t>2005-21_IRB#RR-2005-</w:t>
        </w:r>
        <w:r>
          <w:rPr>
            <w:rFonts w:ascii="Arial"/>
            <w:i/>
            <w:color w:val="0056A2"/>
            <w:spacing w:val="-5"/>
            <w:sz w:val="20"/>
            <w:u w:val="single" w:color="0055A1"/>
          </w:rPr>
          <w:t>31</w:t>
        </w:r>
      </w:hyperlink>
      <w:r>
        <w:rPr>
          <w:rFonts w:ascii="Arial"/>
          <w:i/>
          <w:spacing w:val="-5"/>
          <w:sz w:val="20"/>
        </w:rPr>
        <w:t>.</w:t>
      </w:r>
    </w:p>
    <w:p>
      <w:pPr>
        <w:pStyle w:val="BodyText"/>
        <w:spacing w:line="230" w:lineRule="auto" w:before="170"/>
        <w:ind w:left="119" w:right="119"/>
      </w:pPr>
      <w:r>
        <w:rPr>
          <w:rFonts w:ascii="Arial Black"/>
          <w:spacing w:val="-6"/>
        </w:rPr>
        <w:t>Qualified</w:t>
      </w:r>
      <w:r>
        <w:rPr>
          <w:rFonts w:ascii="Arial Black"/>
          <w:spacing w:val="-13"/>
        </w:rPr>
        <w:t> </w:t>
      </w:r>
      <w:r>
        <w:rPr>
          <w:rFonts w:ascii="Arial Black"/>
          <w:spacing w:val="-6"/>
        </w:rPr>
        <w:t>REIT</w:t>
      </w:r>
      <w:r>
        <w:rPr>
          <w:rFonts w:ascii="Arial Black"/>
          <w:spacing w:val="-13"/>
        </w:rPr>
        <w:t> </w:t>
      </w:r>
      <w:r>
        <w:rPr>
          <w:rFonts w:ascii="Arial Black"/>
          <w:spacing w:val="-6"/>
        </w:rPr>
        <w:t>dividends.</w:t>
      </w:r>
      <w:r>
        <w:rPr>
          <w:rFonts w:ascii="Arial Black"/>
          <w:spacing w:val="-4"/>
        </w:rPr>
        <w:t> </w:t>
      </w:r>
      <w:r>
        <w:rPr>
          <w:spacing w:val="-6"/>
        </w:rPr>
        <w:t>Certain</w:t>
      </w:r>
      <w:r>
        <w:rPr>
          <w:spacing w:val="-8"/>
        </w:rPr>
        <w:t> </w:t>
      </w:r>
      <w:r>
        <w:rPr>
          <w:spacing w:val="-6"/>
        </w:rPr>
        <w:t>taxpayers</w:t>
      </w:r>
      <w:r>
        <w:rPr>
          <w:spacing w:val="-7"/>
        </w:rPr>
        <w:t> </w:t>
      </w:r>
      <w:r>
        <w:rPr>
          <w:spacing w:val="-6"/>
        </w:rPr>
        <w:t>are</w:t>
      </w:r>
      <w:r>
        <w:rPr>
          <w:spacing w:val="-8"/>
        </w:rPr>
        <w:t> </w:t>
      </w:r>
      <w:r>
        <w:rPr>
          <w:spacing w:val="-6"/>
        </w:rPr>
        <w:t>entitled </w:t>
      </w:r>
      <w:r>
        <w:rPr/>
        <w:t>to</w:t>
      </w:r>
      <w:r>
        <w:rPr>
          <w:spacing w:val="-10"/>
        </w:rPr>
        <w:t> </w:t>
      </w:r>
      <w:r>
        <w:rPr/>
        <w:t>a</w:t>
      </w:r>
      <w:r>
        <w:rPr>
          <w:spacing w:val="-10"/>
        </w:rPr>
        <w:t> </w:t>
      </w:r>
      <w:r>
        <w:rPr/>
        <w:t>deduction</w:t>
      </w:r>
      <w:r>
        <w:rPr>
          <w:spacing w:val="-10"/>
        </w:rPr>
        <w:t> </w:t>
      </w:r>
      <w:r>
        <w:rPr/>
        <w:t>under</w:t>
      </w:r>
      <w:r>
        <w:rPr>
          <w:spacing w:val="-10"/>
        </w:rPr>
        <w:t> </w:t>
      </w:r>
      <w:r>
        <w:rPr/>
        <w:t>section</w:t>
      </w:r>
      <w:r>
        <w:rPr>
          <w:spacing w:val="-10"/>
        </w:rPr>
        <w:t> </w:t>
      </w:r>
      <w:r>
        <w:rPr/>
        <w:t>199A</w:t>
      </w:r>
      <w:r>
        <w:rPr>
          <w:spacing w:val="-10"/>
        </w:rPr>
        <w:t> </w:t>
      </w:r>
      <w:r>
        <w:rPr/>
        <w:t>computed</w:t>
      </w:r>
      <w:r>
        <w:rPr>
          <w:spacing w:val="-10"/>
        </w:rPr>
        <w:t> </w:t>
      </w:r>
      <w:r>
        <w:rPr/>
        <w:t>by</w:t>
      </w:r>
      <w:r>
        <w:rPr>
          <w:spacing w:val="-10"/>
        </w:rPr>
        <w:t> </w:t>
      </w:r>
      <w:r>
        <w:rPr/>
        <w:t>reference to several types of income, including qualified REIT dividends. A qualified REIT dividend is generally a dividend from a REIT received during the tax year that is not a capital gain dividend or a qualified dividend.</w:t>
      </w:r>
    </w:p>
    <w:p>
      <w:pPr>
        <w:pStyle w:val="BodyText"/>
        <w:spacing w:line="232" w:lineRule="auto"/>
        <w:ind w:left="119" w:right="99"/>
      </w:pPr>
      <w:r>
        <w:rPr/>
        <w:t>However,</w:t>
      </w:r>
      <w:r>
        <w:rPr>
          <w:spacing w:val="-3"/>
        </w:rPr>
        <w:t> </w:t>
      </w:r>
      <w:r>
        <w:rPr/>
        <w:t>a</w:t>
      </w:r>
      <w:r>
        <w:rPr>
          <w:spacing w:val="-3"/>
        </w:rPr>
        <w:t> </w:t>
      </w:r>
      <w:r>
        <w:rPr/>
        <w:t>qualified</w:t>
      </w:r>
      <w:r>
        <w:rPr>
          <w:spacing w:val="-3"/>
        </w:rPr>
        <w:t> </w:t>
      </w:r>
      <w:r>
        <w:rPr/>
        <w:t>REIT</w:t>
      </w:r>
      <w:r>
        <w:rPr>
          <w:spacing w:val="-3"/>
        </w:rPr>
        <w:t> </w:t>
      </w:r>
      <w:r>
        <w:rPr/>
        <w:t>dividend</w:t>
      </w:r>
      <w:r>
        <w:rPr>
          <w:spacing w:val="-3"/>
        </w:rPr>
        <w:t> </w:t>
      </w:r>
      <w:r>
        <w:rPr/>
        <w:t>does</w:t>
      </w:r>
      <w:r>
        <w:rPr>
          <w:spacing w:val="-3"/>
        </w:rPr>
        <w:t> </w:t>
      </w:r>
      <w:r>
        <w:rPr/>
        <w:t>not</w:t>
      </w:r>
      <w:r>
        <w:rPr>
          <w:spacing w:val="-3"/>
        </w:rPr>
        <w:t> </w:t>
      </w:r>
      <w:r>
        <w:rPr/>
        <w:t>include</w:t>
      </w:r>
      <w:r>
        <w:rPr>
          <w:spacing w:val="-3"/>
        </w:rPr>
        <w:t> </w:t>
      </w:r>
      <w:r>
        <w:rPr/>
        <w:t>any REIT</w:t>
      </w:r>
      <w:r>
        <w:rPr>
          <w:spacing w:val="-10"/>
        </w:rPr>
        <w:t> </w:t>
      </w:r>
      <w:r>
        <w:rPr/>
        <w:t>dividend</w:t>
      </w:r>
      <w:r>
        <w:rPr>
          <w:spacing w:val="-10"/>
        </w:rPr>
        <w:t> </w:t>
      </w:r>
      <w:r>
        <w:rPr/>
        <w:t>received</w:t>
      </w:r>
      <w:r>
        <w:rPr>
          <w:spacing w:val="-10"/>
        </w:rPr>
        <w:t> </w:t>
      </w:r>
      <w:r>
        <w:rPr/>
        <w:t>with</w:t>
      </w:r>
      <w:r>
        <w:rPr>
          <w:spacing w:val="-10"/>
        </w:rPr>
        <w:t> </w:t>
      </w:r>
      <w:r>
        <w:rPr/>
        <w:t>respect</w:t>
      </w:r>
      <w:r>
        <w:rPr>
          <w:spacing w:val="-10"/>
        </w:rPr>
        <w:t> </w:t>
      </w:r>
      <w:r>
        <w:rPr/>
        <w:t>to</w:t>
      </w:r>
      <w:r>
        <w:rPr>
          <w:spacing w:val="-10"/>
        </w:rPr>
        <w:t> </w:t>
      </w:r>
      <w:r>
        <w:rPr/>
        <w:t>any</w:t>
      </w:r>
      <w:r>
        <w:rPr>
          <w:spacing w:val="-10"/>
        </w:rPr>
        <w:t> </w:t>
      </w:r>
      <w:r>
        <w:rPr/>
        <w:t>share</w:t>
      </w:r>
      <w:r>
        <w:rPr>
          <w:spacing w:val="-10"/>
        </w:rPr>
        <w:t> </w:t>
      </w:r>
      <w:r>
        <w:rPr/>
        <w:t>of</w:t>
      </w:r>
      <w:r>
        <w:rPr>
          <w:spacing w:val="-10"/>
        </w:rPr>
        <w:t> </w:t>
      </w:r>
      <w:r>
        <w:rPr/>
        <w:t>REIT stock that is held for 45 days or less during the 91-day period beginning on the date that is 45 days before the date on which such share became ex-dividend with respect to the dividend. When counting the number of days the recipient held the stock, include the day the recipient</w:t>
      </w:r>
      <w:r>
        <w:rPr>
          <w:spacing w:val="-10"/>
        </w:rPr>
        <w:t> </w:t>
      </w:r>
      <w:r>
        <w:rPr/>
        <w:t>disposed</w:t>
      </w:r>
      <w:r>
        <w:rPr>
          <w:spacing w:val="-10"/>
        </w:rPr>
        <w:t> </w:t>
      </w:r>
      <w:r>
        <w:rPr/>
        <w:t>of</w:t>
      </w:r>
      <w:r>
        <w:rPr>
          <w:spacing w:val="-10"/>
        </w:rPr>
        <w:t> </w:t>
      </w:r>
      <w:r>
        <w:rPr/>
        <w:t>the</w:t>
      </w:r>
      <w:r>
        <w:rPr>
          <w:spacing w:val="-10"/>
        </w:rPr>
        <w:t> </w:t>
      </w:r>
      <w:r>
        <w:rPr/>
        <w:t>stock,</w:t>
      </w:r>
      <w:r>
        <w:rPr>
          <w:spacing w:val="-10"/>
        </w:rPr>
        <w:t> </w:t>
      </w:r>
      <w:r>
        <w:rPr/>
        <w:t>but</w:t>
      </w:r>
      <w:r>
        <w:rPr>
          <w:spacing w:val="-10"/>
        </w:rPr>
        <w:t> </w:t>
      </w:r>
      <w:r>
        <w:rPr/>
        <w:t>do</w:t>
      </w:r>
      <w:r>
        <w:rPr>
          <w:spacing w:val="-10"/>
        </w:rPr>
        <w:t> </w:t>
      </w:r>
      <w:r>
        <w:rPr/>
        <w:t>not</w:t>
      </w:r>
      <w:r>
        <w:rPr>
          <w:spacing w:val="-10"/>
        </w:rPr>
        <w:t> </w:t>
      </w:r>
      <w:r>
        <w:rPr/>
        <w:t>include</w:t>
      </w:r>
      <w:r>
        <w:rPr>
          <w:spacing w:val="-10"/>
        </w:rPr>
        <w:t> </w:t>
      </w:r>
      <w:r>
        <w:rPr/>
        <w:t>the</w:t>
      </w:r>
      <w:r>
        <w:rPr>
          <w:spacing w:val="-10"/>
        </w:rPr>
        <w:t> </w:t>
      </w:r>
      <w:r>
        <w:rPr/>
        <w:t>day the recipient acquired the stock or certain days during</w:t>
      </w:r>
    </w:p>
    <w:p>
      <w:pPr>
        <w:pStyle w:val="BodyText"/>
        <w:spacing w:after="0" w:line="232" w:lineRule="auto"/>
        <w:sectPr>
          <w:pgSz w:w="12240" w:h="15840"/>
          <w:pgMar w:header="0" w:footer="644" w:top="420" w:bottom="840" w:left="720" w:right="720"/>
          <w:cols w:num="2" w:equalWidth="0">
            <w:col w:w="5230" w:space="230"/>
            <w:col w:w="5340"/>
          </w:cols>
        </w:sectPr>
      </w:pPr>
    </w:p>
    <w:p>
      <w:pPr>
        <w:pStyle w:val="BodyText"/>
        <w:spacing w:line="232" w:lineRule="auto" w:before="178"/>
        <w:ind w:left="119" w:right="35"/>
      </w:pPr>
      <w:r>
        <w:rPr/>
        <w:t>which the recipient's risk of loss was diminished. In addition,</w:t>
      </w:r>
      <w:r>
        <w:rPr>
          <w:spacing w:val="-12"/>
        </w:rPr>
        <w:t> </w:t>
      </w:r>
      <w:r>
        <w:rPr/>
        <w:t>a</w:t>
      </w:r>
      <w:r>
        <w:rPr>
          <w:spacing w:val="-12"/>
        </w:rPr>
        <w:t> </w:t>
      </w:r>
      <w:r>
        <w:rPr/>
        <w:t>qualified</w:t>
      </w:r>
      <w:r>
        <w:rPr>
          <w:spacing w:val="-12"/>
        </w:rPr>
        <w:t> </w:t>
      </w:r>
      <w:r>
        <w:rPr/>
        <w:t>REIT</w:t>
      </w:r>
      <w:r>
        <w:rPr>
          <w:spacing w:val="-12"/>
        </w:rPr>
        <w:t> </w:t>
      </w:r>
      <w:r>
        <w:rPr/>
        <w:t>dividend</w:t>
      </w:r>
      <w:r>
        <w:rPr>
          <w:spacing w:val="-12"/>
        </w:rPr>
        <w:t> </w:t>
      </w:r>
      <w:r>
        <w:rPr/>
        <w:t>does</w:t>
      </w:r>
      <w:r>
        <w:rPr>
          <w:spacing w:val="-12"/>
        </w:rPr>
        <w:t> </w:t>
      </w:r>
      <w:r>
        <w:rPr/>
        <w:t>not</w:t>
      </w:r>
      <w:r>
        <w:rPr>
          <w:spacing w:val="-12"/>
        </w:rPr>
        <w:t> </w:t>
      </w:r>
      <w:r>
        <w:rPr/>
        <w:t>include</w:t>
      </w:r>
      <w:r>
        <w:rPr>
          <w:spacing w:val="-12"/>
        </w:rPr>
        <w:t> </w:t>
      </w:r>
      <w:r>
        <w:rPr/>
        <w:t>any dividend on shares of REIT stock to the extent the recipient is under an obligation (whether pursuant to a short</w:t>
      </w:r>
      <w:r>
        <w:rPr>
          <w:spacing w:val="-3"/>
        </w:rPr>
        <w:t> </w:t>
      </w:r>
      <w:r>
        <w:rPr/>
        <w:t>sale</w:t>
      </w:r>
      <w:r>
        <w:rPr>
          <w:spacing w:val="-3"/>
        </w:rPr>
        <w:t> </w:t>
      </w:r>
      <w:r>
        <w:rPr/>
        <w:t>or</w:t>
      </w:r>
      <w:r>
        <w:rPr>
          <w:spacing w:val="-3"/>
        </w:rPr>
        <w:t> </w:t>
      </w:r>
      <w:r>
        <w:rPr/>
        <w:t>otherwise)</w:t>
      </w:r>
      <w:r>
        <w:rPr>
          <w:spacing w:val="-3"/>
        </w:rPr>
        <w:t> </w:t>
      </w:r>
      <w:r>
        <w:rPr/>
        <w:t>to</w:t>
      </w:r>
      <w:r>
        <w:rPr>
          <w:spacing w:val="-3"/>
        </w:rPr>
        <w:t> </w:t>
      </w:r>
      <w:r>
        <w:rPr/>
        <w:t>make</w:t>
      </w:r>
      <w:r>
        <w:rPr>
          <w:spacing w:val="-3"/>
        </w:rPr>
        <w:t> </w:t>
      </w:r>
      <w:r>
        <w:rPr/>
        <w:t>related</w:t>
      </w:r>
      <w:r>
        <w:rPr>
          <w:spacing w:val="-3"/>
        </w:rPr>
        <w:t> </w:t>
      </w:r>
      <w:r>
        <w:rPr/>
        <w:t>payments</w:t>
      </w:r>
      <w:r>
        <w:rPr>
          <w:spacing w:val="-3"/>
        </w:rPr>
        <w:t> </w:t>
      </w:r>
      <w:r>
        <w:rPr/>
        <w:t>with respect to positions in substantially similar or related </w:t>
      </w:r>
      <w:r>
        <w:rPr>
          <w:spacing w:val="-2"/>
        </w:rPr>
        <w:t>property.</w:t>
      </w:r>
    </w:p>
    <w:p>
      <w:pPr>
        <w:pStyle w:val="BodyText"/>
        <w:spacing w:line="232" w:lineRule="auto" w:before="75"/>
        <w:ind w:left="119" w:right="35"/>
      </w:pPr>
      <w:r>
        <w:rPr>
          <w:rFonts w:ascii="Arial Black"/>
          <w:spacing w:val="-4"/>
        </w:rPr>
        <w:t>Section</w:t>
      </w:r>
      <w:r>
        <w:rPr>
          <w:rFonts w:ascii="Arial Black"/>
          <w:spacing w:val="-13"/>
        </w:rPr>
        <w:t> </w:t>
      </w:r>
      <w:r>
        <w:rPr>
          <w:rFonts w:ascii="Arial Black"/>
          <w:spacing w:val="-4"/>
        </w:rPr>
        <w:t>199A</w:t>
      </w:r>
      <w:r>
        <w:rPr>
          <w:rFonts w:ascii="Arial Black"/>
          <w:spacing w:val="-13"/>
        </w:rPr>
        <w:t> </w:t>
      </w:r>
      <w:r>
        <w:rPr>
          <w:rFonts w:ascii="Arial Black"/>
          <w:spacing w:val="-4"/>
        </w:rPr>
        <w:t>dividends.</w:t>
      </w:r>
      <w:r>
        <w:rPr>
          <w:rFonts w:ascii="Arial Black"/>
          <w:spacing w:val="22"/>
        </w:rPr>
        <w:t> </w:t>
      </w:r>
      <w:r>
        <w:rPr>
          <w:spacing w:val="-4"/>
        </w:rPr>
        <w:t>A</w:t>
      </w:r>
      <w:r>
        <w:rPr>
          <w:spacing w:val="-10"/>
        </w:rPr>
        <w:t> </w:t>
      </w:r>
      <w:r>
        <w:rPr>
          <w:spacing w:val="-4"/>
        </w:rPr>
        <w:t>RIC</w:t>
      </w:r>
      <w:r>
        <w:rPr>
          <w:spacing w:val="-10"/>
        </w:rPr>
        <w:t> </w:t>
      </w:r>
      <w:r>
        <w:rPr>
          <w:spacing w:val="-4"/>
        </w:rPr>
        <w:t>that</w:t>
      </w:r>
      <w:r>
        <w:rPr>
          <w:spacing w:val="-9"/>
        </w:rPr>
        <w:t> </w:t>
      </w:r>
      <w:r>
        <w:rPr>
          <w:spacing w:val="-4"/>
        </w:rPr>
        <w:t>receives</w:t>
      </w:r>
      <w:r>
        <w:rPr>
          <w:spacing w:val="-10"/>
        </w:rPr>
        <w:t> </w:t>
      </w:r>
      <w:r>
        <w:rPr>
          <w:spacing w:val="-4"/>
        </w:rPr>
        <w:t>qualified </w:t>
      </w:r>
      <w:r>
        <w:rPr/>
        <w:t>REIT dividends in a tax year may generally pay section 199A dividends for that year, which certain shareholders of the RIC that meet holding period requirements may treat as qualified REIT dividends for purposes of section 199A. The amount of section 199A dividends that a RIC may</w:t>
      </w:r>
      <w:r>
        <w:rPr>
          <w:spacing w:val="-10"/>
        </w:rPr>
        <w:t> </w:t>
      </w:r>
      <w:r>
        <w:rPr/>
        <w:t>pay</w:t>
      </w:r>
      <w:r>
        <w:rPr>
          <w:spacing w:val="-10"/>
        </w:rPr>
        <w:t> </w:t>
      </w:r>
      <w:r>
        <w:rPr/>
        <w:t>for</w:t>
      </w:r>
      <w:r>
        <w:rPr>
          <w:spacing w:val="-10"/>
        </w:rPr>
        <w:t> </w:t>
      </w:r>
      <w:r>
        <w:rPr/>
        <w:t>a</w:t>
      </w:r>
      <w:r>
        <w:rPr>
          <w:spacing w:val="-10"/>
        </w:rPr>
        <w:t> </w:t>
      </w:r>
      <w:r>
        <w:rPr/>
        <w:t>tax</w:t>
      </w:r>
      <w:r>
        <w:rPr>
          <w:spacing w:val="-10"/>
        </w:rPr>
        <w:t> </w:t>
      </w:r>
      <w:r>
        <w:rPr/>
        <w:t>year</w:t>
      </w:r>
      <w:r>
        <w:rPr>
          <w:spacing w:val="-10"/>
        </w:rPr>
        <w:t> </w:t>
      </w:r>
      <w:r>
        <w:rPr/>
        <w:t>is</w:t>
      </w:r>
      <w:r>
        <w:rPr>
          <w:spacing w:val="-10"/>
        </w:rPr>
        <w:t> </w:t>
      </w:r>
      <w:r>
        <w:rPr/>
        <w:t>limited</w:t>
      </w:r>
      <w:r>
        <w:rPr>
          <w:spacing w:val="-10"/>
        </w:rPr>
        <w:t> </w:t>
      </w:r>
      <w:r>
        <w:rPr/>
        <w:t>to</w:t>
      </w:r>
      <w:r>
        <w:rPr>
          <w:spacing w:val="-10"/>
        </w:rPr>
        <w:t> </w:t>
      </w:r>
      <w:r>
        <w:rPr/>
        <w:t>the</w:t>
      </w:r>
      <w:r>
        <w:rPr>
          <w:spacing w:val="-10"/>
        </w:rPr>
        <w:t> </w:t>
      </w:r>
      <w:r>
        <w:rPr/>
        <w:t>amount</w:t>
      </w:r>
      <w:r>
        <w:rPr>
          <w:spacing w:val="-10"/>
        </w:rPr>
        <w:t> </w:t>
      </w:r>
      <w:r>
        <w:rPr/>
        <w:t>of</w:t>
      </w:r>
      <w:r>
        <w:rPr>
          <w:spacing w:val="-10"/>
        </w:rPr>
        <w:t> </w:t>
      </w:r>
      <w:r>
        <w:rPr/>
        <w:t>qualified REIT</w:t>
      </w:r>
      <w:r>
        <w:rPr>
          <w:spacing w:val="-3"/>
        </w:rPr>
        <w:t> </w:t>
      </w:r>
      <w:r>
        <w:rPr/>
        <w:t>dividends</w:t>
      </w:r>
      <w:r>
        <w:rPr>
          <w:spacing w:val="-3"/>
        </w:rPr>
        <w:t> </w:t>
      </w:r>
      <w:r>
        <w:rPr/>
        <w:t>includible</w:t>
      </w:r>
      <w:r>
        <w:rPr>
          <w:spacing w:val="-3"/>
        </w:rPr>
        <w:t> </w:t>
      </w:r>
      <w:r>
        <w:rPr/>
        <w:t>in</w:t>
      </w:r>
      <w:r>
        <w:rPr>
          <w:spacing w:val="-3"/>
        </w:rPr>
        <w:t> </w:t>
      </w:r>
      <w:r>
        <w:rPr/>
        <w:t>the</w:t>
      </w:r>
      <w:r>
        <w:rPr>
          <w:spacing w:val="-3"/>
        </w:rPr>
        <w:t> </w:t>
      </w:r>
      <w:r>
        <w:rPr/>
        <w:t>RIC's</w:t>
      </w:r>
      <w:r>
        <w:rPr>
          <w:spacing w:val="-3"/>
        </w:rPr>
        <w:t> </w:t>
      </w:r>
      <w:r>
        <w:rPr/>
        <w:t>taxable</w:t>
      </w:r>
      <w:r>
        <w:rPr>
          <w:spacing w:val="-3"/>
        </w:rPr>
        <w:t> </w:t>
      </w:r>
      <w:r>
        <w:rPr/>
        <w:t>income</w:t>
      </w:r>
      <w:r>
        <w:rPr>
          <w:spacing w:val="-3"/>
        </w:rPr>
        <w:t> </w:t>
      </w:r>
      <w:r>
        <w:rPr/>
        <w:t>for the year, reduced by properly allocable deductions. See Regulations</w:t>
      </w:r>
      <w:r>
        <w:rPr>
          <w:spacing w:val="-14"/>
        </w:rPr>
        <w:t> </w:t>
      </w:r>
      <w:r>
        <w:rPr/>
        <w:t>section</w:t>
      </w:r>
      <w:r>
        <w:rPr>
          <w:spacing w:val="-14"/>
        </w:rPr>
        <w:t> </w:t>
      </w:r>
      <w:r>
        <w:rPr/>
        <w:t>1.199A-3(d)</w:t>
      </w:r>
      <w:r>
        <w:rPr>
          <w:spacing w:val="-14"/>
        </w:rPr>
        <w:t> </w:t>
      </w:r>
      <w:r>
        <w:rPr/>
        <w:t>for</w:t>
      </w:r>
      <w:r>
        <w:rPr>
          <w:spacing w:val="-14"/>
        </w:rPr>
        <w:t> </w:t>
      </w:r>
      <w:r>
        <w:rPr/>
        <w:t>other</w:t>
      </w:r>
      <w:r>
        <w:rPr>
          <w:spacing w:val="-14"/>
        </w:rPr>
        <w:t> </w:t>
      </w:r>
      <w:r>
        <w:rPr/>
        <w:t>limits</w:t>
      </w:r>
      <w:r>
        <w:rPr>
          <w:spacing w:val="-14"/>
        </w:rPr>
        <w:t> </w:t>
      </w:r>
      <w:r>
        <w:rPr/>
        <w:t>and</w:t>
      </w:r>
      <w:r>
        <w:rPr>
          <w:spacing w:val="-14"/>
        </w:rPr>
        <w:t> </w:t>
      </w:r>
      <w:r>
        <w:rPr/>
        <w:t>rules, including holding period requirements.</w:t>
      </w:r>
    </w:p>
    <w:p>
      <w:pPr>
        <w:pStyle w:val="BodyText"/>
        <w:spacing w:line="232" w:lineRule="auto" w:before="59"/>
        <w:ind w:right="35"/>
      </w:pPr>
      <w:r>
        <w:rPr>
          <w:rFonts w:ascii="Arial Black"/>
          <w:w w:val="90"/>
        </w:rPr>
        <w:t>Dividend</w:t>
      </w:r>
      <w:r>
        <w:rPr>
          <w:rFonts w:ascii="Arial Black"/>
          <w:spacing w:val="-6"/>
          <w:w w:val="90"/>
        </w:rPr>
        <w:t> </w:t>
      </w:r>
      <w:r>
        <w:rPr>
          <w:rFonts w:ascii="Arial Black"/>
          <w:w w:val="90"/>
        </w:rPr>
        <w:t>payment</w:t>
      </w:r>
      <w:r>
        <w:rPr>
          <w:rFonts w:ascii="Arial Black"/>
          <w:spacing w:val="-6"/>
          <w:w w:val="90"/>
        </w:rPr>
        <w:t> </w:t>
      </w:r>
      <w:r>
        <w:rPr>
          <w:rFonts w:ascii="Arial Black"/>
          <w:w w:val="90"/>
        </w:rPr>
        <w:t>delayed</w:t>
      </w:r>
      <w:r>
        <w:rPr>
          <w:rFonts w:ascii="Arial Black"/>
          <w:spacing w:val="-6"/>
          <w:w w:val="90"/>
        </w:rPr>
        <w:t> </w:t>
      </w:r>
      <w:r>
        <w:rPr>
          <w:rFonts w:ascii="Arial Black"/>
          <w:w w:val="90"/>
        </w:rPr>
        <w:t>until</w:t>
      </w:r>
      <w:r>
        <w:rPr>
          <w:rFonts w:ascii="Arial Black"/>
          <w:spacing w:val="-6"/>
          <w:w w:val="90"/>
        </w:rPr>
        <w:t> </w:t>
      </w:r>
      <w:r>
        <w:rPr>
          <w:rFonts w:ascii="Arial Black"/>
          <w:w w:val="90"/>
        </w:rPr>
        <w:t>January.</w:t>
      </w:r>
      <w:r>
        <w:rPr>
          <w:rFonts w:ascii="Arial Black"/>
          <w:spacing w:val="32"/>
        </w:rPr>
        <w:t> </w:t>
      </w:r>
      <w:r>
        <w:rPr>
          <w:w w:val="90"/>
        </w:rPr>
        <w:t>If</w:t>
      </w:r>
      <w:r>
        <w:rPr>
          <w:spacing w:val="-1"/>
          <w:w w:val="90"/>
        </w:rPr>
        <w:t> </w:t>
      </w:r>
      <w:r>
        <w:rPr>
          <w:w w:val="90"/>
        </w:rPr>
        <w:t>a</w:t>
      </w:r>
      <w:r>
        <w:rPr>
          <w:spacing w:val="-1"/>
          <w:w w:val="90"/>
        </w:rPr>
        <w:t> </w:t>
      </w:r>
      <w:r>
        <w:rPr>
          <w:w w:val="90"/>
        </w:rPr>
        <w:t>RIC</w:t>
      </w:r>
      <w:r>
        <w:rPr>
          <w:spacing w:val="-1"/>
          <w:w w:val="90"/>
        </w:rPr>
        <w:t> </w:t>
      </w:r>
      <w:r>
        <w:rPr>
          <w:w w:val="90"/>
        </w:rPr>
        <w:t>or</w:t>
      </w:r>
      <w:r>
        <w:rPr>
          <w:spacing w:val="-1"/>
          <w:w w:val="90"/>
        </w:rPr>
        <w:t> </w:t>
      </w:r>
      <w:r>
        <w:rPr>
          <w:w w:val="90"/>
        </w:rPr>
        <w:t>a </w:t>
      </w:r>
      <w:r>
        <w:rPr/>
        <w:t>REIT declares a dividend in October, November, or December payable to shareholders of record on a specified date in such a month, the dividends are treated </w:t>
      </w:r>
      <w:bookmarkStart w:name="_bookmark5" w:id="15"/>
      <w:bookmarkEnd w:id="15"/>
      <w:r>
        <w:rPr/>
        <w:t>as</w:t>
      </w:r>
      <w:r>
        <w:rPr>
          <w:spacing w:val="-6"/>
        </w:rPr>
        <w:t> </w:t>
      </w:r>
      <w:r>
        <w:rPr/>
        <w:t>paid</w:t>
      </w:r>
      <w:r>
        <w:rPr>
          <w:spacing w:val="-6"/>
        </w:rPr>
        <w:t> </w:t>
      </w:r>
      <w:r>
        <w:rPr/>
        <w:t>by</w:t>
      </w:r>
      <w:r>
        <w:rPr>
          <w:spacing w:val="-6"/>
        </w:rPr>
        <w:t> </w:t>
      </w:r>
      <w:r>
        <w:rPr/>
        <w:t>the</w:t>
      </w:r>
      <w:r>
        <w:rPr>
          <w:spacing w:val="-6"/>
        </w:rPr>
        <w:t> </w:t>
      </w:r>
      <w:r>
        <w:rPr/>
        <w:t>RIC</w:t>
      </w:r>
      <w:r>
        <w:rPr>
          <w:spacing w:val="-6"/>
        </w:rPr>
        <w:t> </w:t>
      </w:r>
      <w:r>
        <w:rPr/>
        <w:t>or</w:t>
      </w:r>
      <w:r>
        <w:rPr>
          <w:spacing w:val="-6"/>
        </w:rPr>
        <w:t> </w:t>
      </w:r>
      <w:r>
        <w:rPr/>
        <w:t>REIT</w:t>
      </w:r>
      <w:r>
        <w:rPr>
          <w:spacing w:val="-6"/>
        </w:rPr>
        <w:t> </w:t>
      </w:r>
      <w:r>
        <w:rPr/>
        <w:t>and</w:t>
      </w:r>
      <w:r>
        <w:rPr>
          <w:spacing w:val="-6"/>
        </w:rPr>
        <w:t> </w:t>
      </w:r>
      <w:r>
        <w:rPr/>
        <w:t>received</w:t>
      </w:r>
      <w:r>
        <w:rPr>
          <w:spacing w:val="-6"/>
        </w:rPr>
        <w:t> </w:t>
      </w:r>
      <w:r>
        <w:rPr/>
        <w:t>by</w:t>
      </w:r>
      <w:r>
        <w:rPr>
          <w:spacing w:val="-6"/>
        </w:rPr>
        <w:t> </w:t>
      </w:r>
      <w:r>
        <w:rPr/>
        <w:t>the</w:t>
      </w:r>
      <w:r>
        <w:rPr>
          <w:spacing w:val="-6"/>
        </w:rPr>
        <w:t> </w:t>
      </w:r>
      <w:r>
        <w:rPr/>
        <w:t>recipients on</w:t>
      </w:r>
      <w:r>
        <w:rPr>
          <w:spacing w:val="-12"/>
        </w:rPr>
        <w:t> </w:t>
      </w:r>
      <w:r>
        <w:rPr/>
        <w:t>December</w:t>
      </w:r>
      <w:r>
        <w:rPr>
          <w:spacing w:val="-12"/>
        </w:rPr>
        <w:t> </w:t>
      </w:r>
      <w:r>
        <w:rPr/>
        <w:t>31</w:t>
      </w:r>
      <w:r>
        <w:rPr>
          <w:spacing w:val="-12"/>
        </w:rPr>
        <w:t> </w:t>
      </w:r>
      <w:r>
        <w:rPr/>
        <w:t>of</w:t>
      </w:r>
      <w:r>
        <w:rPr>
          <w:spacing w:val="-12"/>
        </w:rPr>
        <w:t> </w:t>
      </w:r>
      <w:r>
        <w:rPr/>
        <w:t>such</w:t>
      </w:r>
      <w:r>
        <w:rPr>
          <w:spacing w:val="-12"/>
        </w:rPr>
        <w:t> </w:t>
      </w:r>
      <w:r>
        <w:rPr/>
        <w:t>year</w:t>
      </w:r>
      <w:r>
        <w:rPr>
          <w:spacing w:val="-12"/>
        </w:rPr>
        <w:t> </w:t>
      </w:r>
      <w:r>
        <w:rPr/>
        <w:t>as</w:t>
      </w:r>
      <w:r>
        <w:rPr>
          <w:spacing w:val="-12"/>
        </w:rPr>
        <w:t> </w:t>
      </w:r>
      <w:r>
        <w:rPr/>
        <w:t>long</w:t>
      </w:r>
      <w:r>
        <w:rPr>
          <w:spacing w:val="-12"/>
        </w:rPr>
        <w:t> </w:t>
      </w:r>
      <w:r>
        <w:rPr/>
        <w:t>as</w:t>
      </w:r>
      <w:r>
        <w:rPr>
          <w:spacing w:val="-12"/>
        </w:rPr>
        <w:t> </w:t>
      </w:r>
      <w:r>
        <w:rPr/>
        <w:t>the</w:t>
      </w:r>
      <w:r>
        <w:rPr>
          <w:spacing w:val="-12"/>
        </w:rPr>
        <w:t> </w:t>
      </w:r>
      <w:r>
        <w:rPr/>
        <w:t>dividends</w:t>
      </w:r>
      <w:r>
        <w:rPr>
          <w:spacing w:val="-12"/>
        </w:rPr>
        <w:t> </w:t>
      </w:r>
      <w:r>
        <w:rPr/>
        <w:t>are actually paid by the RIC or REIT during January of the following</w:t>
      </w:r>
      <w:r>
        <w:rPr>
          <w:spacing w:val="-14"/>
        </w:rPr>
        <w:t> </w:t>
      </w:r>
      <w:r>
        <w:rPr/>
        <w:t>year.</w:t>
      </w:r>
      <w:r>
        <w:rPr>
          <w:spacing w:val="-14"/>
        </w:rPr>
        <w:t> </w:t>
      </w:r>
      <w:r>
        <w:rPr/>
        <w:t>Report</w:t>
      </w:r>
      <w:r>
        <w:rPr>
          <w:spacing w:val="-14"/>
        </w:rPr>
        <w:t> </w:t>
      </w:r>
      <w:r>
        <w:rPr/>
        <w:t>the</w:t>
      </w:r>
      <w:r>
        <w:rPr>
          <w:spacing w:val="-14"/>
        </w:rPr>
        <w:t> </w:t>
      </w:r>
      <w:r>
        <w:rPr/>
        <w:t>dividends</w:t>
      </w:r>
      <w:r>
        <w:rPr>
          <w:spacing w:val="-14"/>
        </w:rPr>
        <w:t> </w:t>
      </w:r>
      <w:r>
        <w:rPr/>
        <w:t>on</w:t>
      </w:r>
      <w:r>
        <w:rPr>
          <w:spacing w:val="-14"/>
        </w:rPr>
        <w:t> </w:t>
      </w:r>
      <w:r>
        <w:rPr/>
        <w:t>Form</w:t>
      </w:r>
      <w:r>
        <w:rPr>
          <w:spacing w:val="-14"/>
        </w:rPr>
        <w:t> </w:t>
      </w:r>
      <w:r>
        <w:rPr/>
        <w:t>1099-DIV</w:t>
      </w:r>
      <w:r>
        <w:rPr>
          <w:spacing w:val="-14"/>
        </w:rPr>
        <w:t> </w:t>
      </w:r>
      <w:r>
        <w:rPr/>
        <w:t>for the</w:t>
      </w:r>
      <w:r>
        <w:rPr>
          <w:spacing w:val="-14"/>
        </w:rPr>
        <w:t> </w:t>
      </w:r>
      <w:r>
        <w:rPr/>
        <w:t>year</w:t>
      </w:r>
      <w:r>
        <w:rPr>
          <w:spacing w:val="-14"/>
        </w:rPr>
        <w:t> </w:t>
      </w:r>
      <w:r>
        <w:rPr/>
        <w:t>preceding</w:t>
      </w:r>
      <w:r>
        <w:rPr>
          <w:spacing w:val="-14"/>
        </w:rPr>
        <w:t> </w:t>
      </w:r>
      <w:r>
        <w:rPr/>
        <w:t>the</w:t>
      </w:r>
      <w:r>
        <w:rPr>
          <w:spacing w:val="-14"/>
        </w:rPr>
        <w:t> </w:t>
      </w:r>
      <w:r>
        <w:rPr/>
        <w:t>January</w:t>
      </w:r>
      <w:r>
        <w:rPr>
          <w:spacing w:val="-14"/>
        </w:rPr>
        <w:t> </w:t>
      </w:r>
      <w:r>
        <w:rPr/>
        <w:t>they</w:t>
      </w:r>
      <w:r>
        <w:rPr>
          <w:spacing w:val="-14"/>
        </w:rPr>
        <w:t> </w:t>
      </w:r>
      <w:r>
        <w:rPr/>
        <w:t>are</w:t>
      </w:r>
      <w:r>
        <w:rPr>
          <w:spacing w:val="-14"/>
        </w:rPr>
        <w:t> </w:t>
      </w:r>
      <w:r>
        <w:rPr/>
        <w:t>actually</w:t>
      </w:r>
      <w:r>
        <w:rPr>
          <w:spacing w:val="-13"/>
        </w:rPr>
        <w:t> </w:t>
      </w:r>
      <w:r>
        <w:rPr/>
        <w:t>paid.</w:t>
      </w:r>
      <w:r>
        <w:rPr>
          <w:spacing w:val="-14"/>
        </w:rPr>
        <w:t> </w:t>
      </w:r>
      <w:r>
        <w:rPr/>
        <w:t>See sections 852(b)(7) and 857(b)(9) for RICs and REITs, </w:t>
      </w:r>
      <w:r>
        <w:rPr>
          <w:spacing w:val="-2"/>
        </w:rPr>
        <w:t>respectively.</w:t>
      </w:r>
    </w:p>
    <w:p>
      <w:pPr>
        <w:pStyle w:val="BodyText"/>
        <w:spacing w:line="232" w:lineRule="auto" w:before="52"/>
        <w:ind w:right="35" w:firstLine="240"/>
      </w:pPr>
      <w:r>
        <w:rPr/>
        <w:t>If a dividend paid in January is subject to backup withholding, withhold when the dividend is actually paid. Therefore, backup withhold in January, deposit the withholding</w:t>
      </w:r>
      <w:r>
        <w:rPr>
          <w:spacing w:val="-2"/>
        </w:rPr>
        <w:t> </w:t>
      </w:r>
      <w:r>
        <w:rPr/>
        <w:t>when</w:t>
      </w:r>
      <w:r>
        <w:rPr>
          <w:spacing w:val="-2"/>
        </w:rPr>
        <w:t> </w:t>
      </w:r>
      <w:r>
        <w:rPr/>
        <w:t>appropriate,</w:t>
      </w:r>
      <w:r>
        <w:rPr>
          <w:spacing w:val="-2"/>
        </w:rPr>
        <w:t> </w:t>
      </w:r>
      <w:r>
        <w:rPr/>
        <w:t>and</w:t>
      </w:r>
      <w:r>
        <w:rPr>
          <w:spacing w:val="-2"/>
        </w:rPr>
        <w:t> </w:t>
      </w:r>
      <w:r>
        <w:rPr/>
        <w:t>reflect</w:t>
      </w:r>
      <w:r>
        <w:rPr>
          <w:spacing w:val="-2"/>
        </w:rPr>
        <w:t> </w:t>
      </w:r>
      <w:r>
        <w:rPr/>
        <w:t>it</w:t>
      </w:r>
      <w:r>
        <w:rPr>
          <w:spacing w:val="-2"/>
        </w:rPr>
        <w:t> </w:t>
      </w:r>
      <w:r>
        <w:rPr/>
        <w:t>on</w:t>
      </w:r>
      <w:r>
        <w:rPr>
          <w:spacing w:val="-2"/>
        </w:rPr>
        <w:t> </w:t>
      </w:r>
      <w:r>
        <w:rPr/>
        <w:t>Form</w:t>
      </w:r>
      <w:r>
        <w:rPr>
          <w:spacing w:val="-2"/>
        </w:rPr>
        <w:t> </w:t>
      </w:r>
      <w:r>
        <w:rPr/>
        <w:t>945, Annual Return of Withheld Federal Income Tax, for the year withheld. However, because the dividend is reportable</w:t>
      </w:r>
      <w:r>
        <w:rPr>
          <w:spacing w:val="-14"/>
        </w:rPr>
        <w:t> </w:t>
      </w:r>
      <w:r>
        <w:rPr/>
        <w:t>on</w:t>
      </w:r>
      <w:r>
        <w:rPr>
          <w:spacing w:val="-14"/>
        </w:rPr>
        <w:t> </w:t>
      </w:r>
      <w:r>
        <w:rPr/>
        <w:t>Form</w:t>
      </w:r>
      <w:r>
        <w:rPr>
          <w:spacing w:val="-14"/>
        </w:rPr>
        <w:t> </w:t>
      </w:r>
      <w:r>
        <w:rPr/>
        <w:t>1099-DIV</w:t>
      </w:r>
      <w:r>
        <w:rPr>
          <w:spacing w:val="-14"/>
        </w:rPr>
        <w:t> </w:t>
      </w:r>
      <w:r>
        <w:rPr/>
        <w:t>for</w:t>
      </w:r>
      <w:r>
        <w:rPr>
          <w:spacing w:val="-14"/>
        </w:rPr>
        <w:t> </w:t>
      </w:r>
      <w:r>
        <w:rPr/>
        <w:t>the</w:t>
      </w:r>
      <w:r>
        <w:rPr>
          <w:spacing w:val="-14"/>
        </w:rPr>
        <w:t> </w:t>
      </w:r>
      <w:r>
        <w:rPr/>
        <w:t>prior</w:t>
      </w:r>
      <w:r>
        <w:rPr>
          <w:spacing w:val="-14"/>
        </w:rPr>
        <w:t> </w:t>
      </w:r>
      <w:r>
        <w:rPr/>
        <w:t>year,</w:t>
      </w:r>
      <w:r>
        <w:rPr>
          <w:spacing w:val="-14"/>
        </w:rPr>
        <w:t> </w:t>
      </w:r>
      <w:r>
        <w:rPr/>
        <w:t>the</w:t>
      </w:r>
      <w:r>
        <w:rPr>
          <w:spacing w:val="-14"/>
        </w:rPr>
        <w:t> </w:t>
      </w:r>
      <w:r>
        <w:rPr/>
        <w:t>related backup withholding is also reportable on the prior year Form 1099-DIV.</w:t>
      </w:r>
    </w:p>
    <w:p>
      <w:pPr>
        <w:pStyle w:val="BodyText"/>
        <w:spacing w:line="232" w:lineRule="auto" w:before="76"/>
        <w:ind w:left="119" w:right="35"/>
      </w:pPr>
      <w:bookmarkStart w:name="Restricted Stock" w:id="16"/>
      <w:bookmarkEnd w:id="16"/>
      <w:r>
        <w:rPr/>
      </w:r>
      <w:bookmarkStart w:name="_bookmark6" w:id="17"/>
      <w:bookmarkEnd w:id="17"/>
      <w:r>
        <w:rPr/>
      </w:r>
      <w:r>
        <w:rPr>
          <w:rFonts w:ascii="Arial Black" w:hAnsi="Arial Black"/>
          <w:w w:val="90"/>
        </w:rPr>
        <w:t>Qualified small business stock—RICs.</w:t>
      </w:r>
      <w:r>
        <w:rPr>
          <w:rFonts w:ascii="Arial Black" w:hAnsi="Arial Black"/>
          <w:spacing w:val="40"/>
        </w:rPr>
        <w:t> </w:t>
      </w:r>
      <w:r>
        <w:rPr>
          <w:w w:val="90"/>
        </w:rPr>
        <w:t>Under section </w:t>
      </w:r>
      <w:r>
        <w:rPr/>
        <w:t>1202, a 50% exclusion may be allowed on the gain from the sale or exchange of qualified small business stock issued after August 10, 1993, and held for more than 5 years. A 60% exclusion may be allowed if the stock is </w:t>
      </w:r>
      <w:bookmarkStart w:name="Widely Held Fixed Investment Trusts (WHF" w:id="18"/>
      <w:bookmarkEnd w:id="18"/>
      <w:r>
        <w:rPr/>
        <w:t>emp</w:t>
      </w:r>
      <w:r>
        <w:rPr/>
        <w:t>owerment zone business stock acquired after December 21, 2000, and before December 31, 2018. For qualified</w:t>
      </w:r>
      <w:r>
        <w:rPr>
          <w:spacing w:val="-8"/>
        </w:rPr>
        <w:t> </w:t>
      </w:r>
      <w:r>
        <w:rPr/>
        <w:t>small</w:t>
      </w:r>
      <w:r>
        <w:rPr>
          <w:spacing w:val="-8"/>
        </w:rPr>
        <w:t> </w:t>
      </w:r>
      <w:r>
        <w:rPr/>
        <w:t>business</w:t>
      </w:r>
      <w:r>
        <w:rPr>
          <w:spacing w:val="-8"/>
        </w:rPr>
        <w:t> </w:t>
      </w:r>
      <w:r>
        <w:rPr/>
        <w:t>stock</w:t>
      </w:r>
      <w:r>
        <w:rPr>
          <w:spacing w:val="-8"/>
        </w:rPr>
        <w:t> </w:t>
      </w:r>
      <w:r>
        <w:rPr/>
        <w:t>acquired</w:t>
      </w:r>
      <w:r>
        <w:rPr>
          <w:spacing w:val="-8"/>
        </w:rPr>
        <w:t> </w:t>
      </w:r>
      <w:r>
        <w:rPr/>
        <w:t>after</w:t>
      </w:r>
      <w:r>
        <w:rPr>
          <w:spacing w:val="-8"/>
        </w:rPr>
        <w:t> </w:t>
      </w:r>
      <w:r>
        <w:rPr/>
        <w:t>February</w:t>
      </w:r>
      <w:r>
        <w:rPr>
          <w:spacing w:val="-8"/>
        </w:rPr>
        <w:t> </w:t>
      </w:r>
      <w:r>
        <w:rPr/>
        <w:t>17, 2009, and before September 28, 2010, the exclusion is 75%. For qualified small business stock acquired on or after September 28, 2010, and before January 1, 2014, the exclusion is 100%. For purposes of the 75% and</w:t>
      </w:r>
      <w:r>
        <w:rPr/>
        <w:t> 100%</w:t>
      </w:r>
      <w:r>
        <w:rPr>
          <w:spacing w:val="-14"/>
        </w:rPr>
        <w:t> </w:t>
      </w:r>
      <w:r>
        <w:rPr/>
        <w:t>exclusions,</w:t>
      </w:r>
      <w:r>
        <w:rPr>
          <w:spacing w:val="-14"/>
        </w:rPr>
        <w:t> </w:t>
      </w:r>
      <w:r>
        <w:rPr/>
        <w:t>the</w:t>
      </w:r>
      <w:r>
        <w:rPr>
          <w:spacing w:val="-14"/>
        </w:rPr>
        <w:t> </w:t>
      </w:r>
      <w:r>
        <w:rPr/>
        <w:t>acquisition</w:t>
      </w:r>
      <w:r>
        <w:rPr>
          <w:spacing w:val="-14"/>
        </w:rPr>
        <w:t> </w:t>
      </w:r>
      <w:r>
        <w:rPr/>
        <w:t>date</w:t>
      </w:r>
      <w:r>
        <w:rPr>
          <w:spacing w:val="-14"/>
        </w:rPr>
        <w:t> </w:t>
      </w:r>
      <w:r>
        <w:rPr/>
        <w:t>shall</w:t>
      </w:r>
      <w:r>
        <w:rPr>
          <w:spacing w:val="-13"/>
        </w:rPr>
        <w:t> </w:t>
      </w:r>
      <w:r>
        <w:rPr/>
        <w:t>be</w:t>
      </w:r>
      <w:r>
        <w:rPr>
          <w:spacing w:val="-14"/>
        </w:rPr>
        <w:t> </w:t>
      </w:r>
      <w:r>
        <w:rPr/>
        <w:t>the</w:t>
      </w:r>
      <w:r>
        <w:rPr>
          <w:spacing w:val="-14"/>
        </w:rPr>
        <w:t> </w:t>
      </w:r>
      <w:r>
        <w:rPr/>
        <w:t>first</w:t>
      </w:r>
      <w:r>
        <w:rPr>
          <w:spacing w:val="-14"/>
        </w:rPr>
        <w:t> </w:t>
      </w:r>
      <w:r>
        <w:rPr/>
        <w:t>day on which the stock was held by the taxpayer determined after the application of section 1223.</w:t>
      </w:r>
    </w:p>
    <w:p>
      <w:pPr>
        <w:pStyle w:val="BodyText"/>
        <w:spacing w:line="232" w:lineRule="auto" w:before="55"/>
        <w:ind w:right="35" w:firstLine="240"/>
      </w:pPr>
      <w:r>
        <w:rPr/>
        <w:t>If any part of the capital gain distribution reported in </w:t>
      </w:r>
      <w:hyperlink w:history="true" w:anchor="_bookmark8">
        <w:r>
          <w:rPr>
            <w:color w:val="0056A2"/>
            <w:u w:val="single" w:color="0055A1"/>
          </w:rPr>
          <w:t>box 2a</w:t>
        </w:r>
      </w:hyperlink>
      <w:r>
        <w:rPr>
          <w:color w:val="0056A2"/>
        </w:rPr>
        <w:t> </w:t>
      </w:r>
      <w:r>
        <w:rPr/>
        <w:t>may qualify for this exclusion (taking into consideration the recipient's holding period), report the gain</w:t>
      </w:r>
      <w:r>
        <w:rPr>
          <w:spacing w:val="-3"/>
        </w:rPr>
        <w:t> </w:t>
      </w:r>
      <w:r>
        <w:rPr/>
        <w:t>in</w:t>
      </w:r>
      <w:r>
        <w:rPr>
          <w:spacing w:val="-3"/>
        </w:rPr>
        <w:t> </w:t>
      </w:r>
      <w:hyperlink w:history="true" w:anchor="_bookmark10">
        <w:r>
          <w:rPr>
            <w:color w:val="0056A2"/>
            <w:u w:val="single" w:color="0055A1"/>
          </w:rPr>
          <w:t>box</w:t>
        </w:r>
        <w:r>
          <w:rPr>
            <w:color w:val="0056A2"/>
            <w:spacing w:val="-3"/>
            <w:u w:val="single" w:color="0055A1"/>
          </w:rPr>
          <w:t> </w:t>
        </w:r>
        <w:r>
          <w:rPr>
            <w:color w:val="0056A2"/>
            <w:u w:val="single" w:color="0055A1"/>
          </w:rPr>
          <w:t>2c</w:t>
        </w:r>
      </w:hyperlink>
      <w:r>
        <w:rPr/>
        <w:t>,</w:t>
      </w:r>
      <w:r>
        <w:rPr>
          <w:spacing w:val="-3"/>
        </w:rPr>
        <w:t> </w:t>
      </w:r>
      <w:r>
        <w:rPr/>
        <w:t>and</w:t>
      </w:r>
      <w:r>
        <w:rPr>
          <w:spacing w:val="-3"/>
        </w:rPr>
        <w:t> </w:t>
      </w:r>
      <w:r>
        <w:rPr/>
        <w:t>furnish</w:t>
      </w:r>
      <w:r>
        <w:rPr>
          <w:spacing w:val="-3"/>
        </w:rPr>
        <w:t> </w:t>
      </w:r>
      <w:r>
        <w:rPr/>
        <w:t>the</w:t>
      </w:r>
      <w:r>
        <w:rPr>
          <w:spacing w:val="-3"/>
        </w:rPr>
        <w:t> </w:t>
      </w:r>
      <w:r>
        <w:rPr/>
        <w:t>recipient</w:t>
      </w:r>
      <w:r>
        <w:rPr>
          <w:spacing w:val="-3"/>
        </w:rPr>
        <w:t> </w:t>
      </w:r>
      <w:r>
        <w:rPr/>
        <w:t>a</w:t>
      </w:r>
      <w:r>
        <w:rPr>
          <w:spacing w:val="-3"/>
        </w:rPr>
        <w:t> </w:t>
      </w:r>
      <w:r>
        <w:rPr/>
        <w:t>statement</w:t>
      </w:r>
      <w:r>
        <w:rPr>
          <w:spacing w:val="-3"/>
        </w:rPr>
        <w:t> </w:t>
      </w:r>
      <w:r>
        <w:rPr/>
        <w:t>that reports</w:t>
      </w:r>
      <w:r>
        <w:rPr>
          <w:spacing w:val="-14"/>
        </w:rPr>
        <w:t> </w:t>
      </w:r>
      <w:r>
        <w:rPr/>
        <w:t>separately</w:t>
      </w:r>
      <w:r>
        <w:rPr>
          <w:spacing w:val="-14"/>
        </w:rPr>
        <w:t> </w:t>
      </w:r>
      <w:r>
        <w:rPr/>
        <w:t>for</w:t>
      </w:r>
      <w:r>
        <w:rPr>
          <w:spacing w:val="-14"/>
        </w:rPr>
        <w:t> </w:t>
      </w:r>
      <w:r>
        <w:rPr/>
        <w:t>each</w:t>
      </w:r>
      <w:r>
        <w:rPr>
          <w:spacing w:val="-13"/>
        </w:rPr>
        <w:t> </w:t>
      </w:r>
      <w:r>
        <w:rPr/>
        <w:t>designated</w:t>
      </w:r>
      <w:r>
        <w:rPr>
          <w:spacing w:val="-14"/>
        </w:rPr>
        <w:t> </w:t>
      </w:r>
      <w:r>
        <w:rPr/>
        <w:t>section</w:t>
      </w:r>
      <w:r>
        <w:rPr>
          <w:spacing w:val="-14"/>
        </w:rPr>
        <w:t> </w:t>
      </w:r>
      <w:r>
        <w:rPr/>
        <w:t>1202</w:t>
      </w:r>
      <w:r>
        <w:rPr>
          <w:spacing w:val="-14"/>
        </w:rPr>
        <w:t> </w:t>
      </w:r>
      <w:r>
        <w:rPr/>
        <w:t>gain </w:t>
      </w:r>
      <w:r>
        <w:rPr>
          <w:spacing w:val="-4"/>
        </w:rPr>
        <w:t>the:</w:t>
      </w:r>
    </w:p>
    <w:p>
      <w:pPr>
        <w:pStyle w:val="ListParagraph"/>
        <w:numPr>
          <w:ilvl w:val="0"/>
          <w:numId w:val="1"/>
        </w:numPr>
        <w:tabs>
          <w:tab w:pos="329" w:val="left" w:leader="none"/>
        </w:tabs>
        <w:spacing w:line="216" w:lineRule="auto" w:before="0" w:after="0"/>
        <w:ind w:left="120" w:right="160" w:firstLine="15"/>
        <w:jc w:val="left"/>
        <w:rPr>
          <w:sz w:val="20"/>
        </w:rPr>
      </w:pPr>
      <w:r>
        <w:rPr>
          <w:position w:val="1"/>
          <w:sz w:val="20"/>
        </w:rPr>
        <w:t>Name</w:t>
      </w:r>
      <w:r>
        <w:rPr>
          <w:spacing w:val="-13"/>
          <w:position w:val="1"/>
          <w:sz w:val="20"/>
        </w:rPr>
        <w:t> </w:t>
      </w:r>
      <w:r>
        <w:rPr>
          <w:position w:val="1"/>
          <w:sz w:val="20"/>
        </w:rPr>
        <w:t>of</w:t>
      </w:r>
      <w:r>
        <w:rPr>
          <w:spacing w:val="-13"/>
          <w:position w:val="1"/>
          <w:sz w:val="20"/>
        </w:rPr>
        <w:t> </w:t>
      </w:r>
      <w:r>
        <w:rPr>
          <w:position w:val="1"/>
          <w:sz w:val="20"/>
        </w:rPr>
        <w:t>the</w:t>
      </w:r>
      <w:r>
        <w:rPr>
          <w:spacing w:val="-13"/>
          <w:position w:val="1"/>
          <w:sz w:val="20"/>
        </w:rPr>
        <w:t> </w:t>
      </w:r>
      <w:r>
        <w:rPr>
          <w:position w:val="1"/>
          <w:sz w:val="20"/>
        </w:rPr>
        <w:t>corporation</w:t>
      </w:r>
      <w:r>
        <w:rPr>
          <w:spacing w:val="-13"/>
          <w:position w:val="1"/>
          <w:sz w:val="20"/>
        </w:rPr>
        <w:t> </w:t>
      </w:r>
      <w:r>
        <w:rPr>
          <w:position w:val="1"/>
          <w:sz w:val="20"/>
        </w:rPr>
        <w:t>that</w:t>
      </w:r>
      <w:r>
        <w:rPr>
          <w:spacing w:val="-13"/>
          <w:position w:val="1"/>
          <w:sz w:val="20"/>
        </w:rPr>
        <w:t> </w:t>
      </w:r>
      <w:r>
        <w:rPr>
          <w:position w:val="1"/>
          <w:sz w:val="20"/>
        </w:rPr>
        <w:t>issued</w:t>
      </w:r>
      <w:r>
        <w:rPr>
          <w:spacing w:val="-13"/>
          <w:position w:val="1"/>
          <w:sz w:val="20"/>
        </w:rPr>
        <w:t> </w:t>
      </w:r>
      <w:r>
        <w:rPr>
          <w:position w:val="1"/>
          <w:sz w:val="20"/>
        </w:rPr>
        <w:t>the</w:t>
      </w:r>
      <w:r>
        <w:rPr>
          <w:spacing w:val="-13"/>
          <w:position w:val="1"/>
          <w:sz w:val="20"/>
        </w:rPr>
        <w:t> </w:t>
      </w:r>
      <w:r>
        <w:rPr>
          <w:position w:val="1"/>
          <w:sz w:val="20"/>
        </w:rPr>
        <w:t>stock</w:t>
      </w:r>
      <w:r>
        <w:rPr>
          <w:spacing w:val="-13"/>
          <w:position w:val="1"/>
          <w:sz w:val="20"/>
        </w:rPr>
        <w:t> </w:t>
      </w:r>
      <w:r>
        <w:rPr>
          <w:position w:val="1"/>
          <w:sz w:val="20"/>
        </w:rPr>
        <w:t>that</w:t>
      </w:r>
      <w:r>
        <w:rPr>
          <w:spacing w:val="-13"/>
          <w:position w:val="1"/>
          <w:sz w:val="20"/>
        </w:rPr>
        <w:t> </w:t>
      </w:r>
      <w:r>
        <w:rPr>
          <w:position w:val="1"/>
          <w:sz w:val="20"/>
        </w:rPr>
        <w:t>was </w:t>
      </w:r>
      <w:r>
        <w:rPr>
          <w:spacing w:val="-2"/>
          <w:sz w:val="20"/>
        </w:rPr>
        <w:t>sold,</w:t>
      </w:r>
    </w:p>
    <w:p>
      <w:pPr>
        <w:pStyle w:val="ListParagraph"/>
        <w:numPr>
          <w:ilvl w:val="0"/>
          <w:numId w:val="1"/>
        </w:numPr>
        <w:tabs>
          <w:tab w:pos="329" w:val="left" w:leader="none"/>
        </w:tabs>
        <w:spacing w:line="250" w:lineRule="exact" w:before="144" w:after="0"/>
        <w:ind w:left="329" w:right="0" w:hanging="194"/>
        <w:jc w:val="left"/>
        <w:rPr>
          <w:position w:val="1"/>
          <w:sz w:val="20"/>
        </w:rPr>
      </w:pPr>
      <w:r>
        <w:rPr/>
        <w:br w:type="column"/>
      </w:r>
      <w:r>
        <w:rPr>
          <w:position w:val="1"/>
          <w:sz w:val="20"/>
        </w:rPr>
        <w:t>Date(s)</w:t>
      </w:r>
      <w:r>
        <w:rPr>
          <w:spacing w:val="-12"/>
          <w:position w:val="1"/>
          <w:sz w:val="20"/>
        </w:rPr>
        <w:t> </w:t>
      </w:r>
      <w:r>
        <w:rPr>
          <w:position w:val="1"/>
          <w:sz w:val="20"/>
        </w:rPr>
        <w:t>on</w:t>
      </w:r>
      <w:r>
        <w:rPr>
          <w:spacing w:val="-12"/>
          <w:position w:val="1"/>
          <w:sz w:val="20"/>
        </w:rPr>
        <w:t> </w:t>
      </w:r>
      <w:r>
        <w:rPr>
          <w:position w:val="1"/>
          <w:sz w:val="20"/>
        </w:rPr>
        <w:t>which</w:t>
      </w:r>
      <w:r>
        <w:rPr>
          <w:spacing w:val="-11"/>
          <w:position w:val="1"/>
          <w:sz w:val="20"/>
        </w:rPr>
        <w:t> </w:t>
      </w:r>
      <w:r>
        <w:rPr>
          <w:position w:val="1"/>
          <w:sz w:val="20"/>
        </w:rPr>
        <w:t>the</w:t>
      </w:r>
      <w:r>
        <w:rPr>
          <w:spacing w:val="-12"/>
          <w:position w:val="1"/>
          <w:sz w:val="20"/>
        </w:rPr>
        <w:t> </w:t>
      </w:r>
      <w:r>
        <w:rPr>
          <w:position w:val="1"/>
          <w:sz w:val="20"/>
        </w:rPr>
        <w:t>RIC</w:t>
      </w:r>
      <w:r>
        <w:rPr>
          <w:spacing w:val="-12"/>
          <w:position w:val="1"/>
          <w:sz w:val="20"/>
        </w:rPr>
        <w:t> </w:t>
      </w:r>
      <w:r>
        <w:rPr>
          <w:position w:val="1"/>
          <w:sz w:val="20"/>
        </w:rPr>
        <w:t>acquired</w:t>
      </w:r>
      <w:r>
        <w:rPr>
          <w:spacing w:val="-11"/>
          <w:position w:val="1"/>
          <w:sz w:val="20"/>
        </w:rPr>
        <w:t> </w:t>
      </w:r>
      <w:r>
        <w:rPr>
          <w:position w:val="1"/>
          <w:sz w:val="20"/>
        </w:rPr>
        <w:t>the</w:t>
      </w:r>
      <w:r>
        <w:rPr>
          <w:spacing w:val="-12"/>
          <w:position w:val="1"/>
          <w:sz w:val="20"/>
        </w:rPr>
        <w:t> </w:t>
      </w:r>
      <w:r>
        <w:rPr>
          <w:spacing w:val="-2"/>
          <w:position w:val="1"/>
          <w:sz w:val="20"/>
        </w:rPr>
        <w:t>stock,</w:t>
      </w:r>
    </w:p>
    <w:p>
      <w:pPr>
        <w:pStyle w:val="ListParagraph"/>
        <w:numPr>
          <w:ilvl w:val="0"/>
          <w:numId w:val="1"/>
        </w:numPr>
        <w:tabs>
          <w:tab w:pos="329" w:val="left" w:leader="none"/>
        </w:tabs>
        <w:spacing w:line="224" w:lineRule="exact" w:before="0" w:after="0"/>
        <w:ind w:left="329" w:right="0" w:hanging="194"/>
        <w:jc w:val="left"/>
        <w:rPr>
          <w:position w:val="1"/>
          <w:sz w:val="20"/>
        </w:rPr>
      </w:pPr>
      <w:r>
        <w:rPr>
          <w:spacing w:val="-2"/>
          <w:position w:val="1"/>
          <w:sz w:val="20"/>
        </w:rPr>
        <w:t>Date</w:t>
      </w:r>
      <w:r>
        <w:rPr>
          <w:spacing w:val="-7"/>
          <w:position w:val="1"/>
          <w:sz w:val="20"/>
        </w:rPr>
        <w:t> </w:t>
      </w:r>
      <w:r>
        <w:rPr>
          <w:spacing w:val="-2"/>
          <w:position w:val="1"/>
          <w:sz w:val="20"/>
        </w:rPr>
        <w:t>sold,</w:t>
      </w:r>
    </w:p>
    <w:p>
      <w:pPr>
        <w:pStyle w:val="ListParagraph"/>
        <w:numPr>
          <w:ilvl w:val="0"/>
          <w:numId w:val="1"/>
        </w:numPr>
        <w:tabs>
          <w:tab w:pos="329" w:val="left" w:leader="none"/>
        </w:tabs>
        <w:spacing w:line="224" w:lineRule="exact" w:before="0" w:after="0"/>
        <w:ind w:left="329" w:right="0" w:hanging="194"/>
        <w:jc w:val="left"/>
        <w:rPr>
          <w:position w:val="1"/>
          <w:sz w:val="20"/>
        </w:rPr>
      </w:pPr>
      <w:r>
        <w:rPr>
          <w:position w:val="1"/>
          <w:sz w:val="20"/>
        </w:rPr>
        <w:t>Recipient's</w:t>
      </w:r>
      <w:r>
        <w:rPr>
          <w:spacing w:val="-11"/>
          <w:position w:val="1"/>
          <w:sz w:val="20"/>
        </w:rPr>
        <w:t> </w:t>
      </w:r>
      <w:r>
        <w:rPr>
          <w:position w:val="1"/>
          <w:sz w:val="20"/>
        </w:rPr>
        <w:t>part</w:t>
      </w:r>
      <w:r>
        <w:rPr>
          <w:spacing w:val="-10"/>
          <w:position w:val="1"/>
          <w:sz w:val="20"/>
        </w:rPr>
        <w:t> </w:t>
      </w:r>
      <w:r>
        <w:rPr>
          <w:position w:val="1"/>
          <w:sz w:val="20"/>
        </w:rPr>
        <w:t>of</w:t>
      </w:r>
      <w:r>
        <w:rPr>
          <w:spacing w:val="-10"/>
          <w:position w:val="1"/>
          <w:sz w:val="20"/>
        </w:rPr>
        <w:t> </w:t>
      </w:r>
      <w:r>
        <w:rPr>
          <w:position w:val="1"/>
          <w:sz w:val="20"/>
        </w:rPr>
        <w:t>the</w:t>
      </w:r>
      <w:r>
        <w:rPr>
          <w:spacing w:val="-10"/>
          <w:position w:val="1"/>
          <w:sz w:val="20"/>
        </w:rPr>
        <w:t> </w:t>
      </w:r>
      <w:r>
        <w:rPr>
          <w:position w:val="1"/>
          <w:sz w:val="20"/>
        </w:rPr>
        <w:t>sales</w:t>
      </w:r>
      <w:r>
        <w:rPr>
          <w:spacing w:val="-10"/>
          <w:position w:val="1"/>
          <w:sz w:val="20"/>
        </w:rPr>
        <w:t> </w:t>
      </w:r>
      <w:r>
        <w:rPr>
          <w:spacing w:val="-2"/>
          <w:position w:val="1"/>
          <w:sz w:val="20"/>
        </w:rPr>
        <w:t>price,</w:t>
      </w:r>
    </w:p>
    <w:p>
      <w:pPr>
        <w:pStyle w:val="ListParagraph"/>
        <w:numPr>
          <w:ilvl w:val="0"/>
          <w:numId w:val="1"/>
        </w:numPr>
        <w:tabs>
          <w:tab w:pos="329" w:val="left" w:leader="none"/>
        </w:tabs>
        <w:spacing w:line="224" w:lineRule="exact" w:before="0" w:after="0"/>
        <w:ind w:left="329" w:right="0" w:hanging="194"/>
        <w:jc w:val="left"/>
        <w:rPr>
          <w:position w:val="1"/>
          <w:sz w:val="20"/>
        </w:rPr>
      </w:pPr>
      <w:r>
        <w:rPr>
          <w:position w:val="1"/>
          <w:sz w:val="20"/>
        </w:rPr>
        <w:t>Recipient's</w:t>
      </w:r>
      <w:r>
        <w:rPr>
          <w:spacing w:val="-11"/>
          <w:position w:val="1"/>
          <w:sz w:val="20"/>
        </w:rPr>
        <w:t> </w:t>
      </w:r>
      <w:r>
        <w:rPr>
          <w:position w:val="1"/>
          <w:sz w:val="20"/>
        </w:rPr>
        <w:t>part</w:t>
      </w:r>
      <w:r>
        <w:rPr>
          <w:spacing w:val="-10"/>
          <w:position w:val="1"/>
          <w:sz w:val="20"/>
        </w:rPr>
        <w:t> </w:t>
      </w:r>
      <w:r>
        <w:rPr>
          <w:position w:val="1"/>
          <w:sz w:val="20"/>
        </w:rPr>
        <w:t>of</w:t>
      </w:r>
      <w:r>
        <w:rPr>
          <w:spacing w:val="-10"/>
          <w:position w:val="1"/>
          <w:sz w:val="20"/>
        </w:rPr>
        <w:t> </w:t>
      </w:r>
      <w:r>
        <w:rPr>
          <w:position w:val="1"/>
          <w:sz w:val="20"/>
        </w:rPr>
        <w:t>the</w:t>
      </w:r>
      <w:r>
        <w:rPr>
          <w:spacing w:val="-10"/>
          <w:position w:val="1"/>
          <w:sz w:val="20"/>
        </w:rPr>
        <w:t> </w:t>
      </w:r>
      <w:r>
        <w:rPr>
          <w:position w:val="1"/>
          <w:sz w:val="20"/>
        </w:rPr>
        <w:t>RIC's</w:t>
      </w:r>
      <w:r>
        <w:rPr>
          <w:spacing w:val="-10"/>
          <w:position w:val="1"/>
          <w:sz w:val="20"/>
        </w:rPr>
        <w:t> </w:t>
      </w:r>
      <w:r>
        <w:rPr>
          <w:position w:val="1"/>
          <w:sz w:val="20"/>
        </w:rPr>
        <w:t>basis</w:t>
      </w:r>
      <w:r>
        <w:rPr>
          <w:spacing w:val="-10"/>
          <w:position w:val="1"/>
          <w:sz w:val="20"/>
        </w:rPr>
        <w:t> </w:t>
      </w:r>
      <w:r>
        <w:rPr>
          <w:position w:val="1"/>
          <w:sz w:val="20"/>
        </w:rPr>
        <w:t>in</w:t>
      </w:r>
      <w:r>
        <w:rPr>
          <w:spacing w:val="-10"/>
          <w:position w:val="1"/>
          <w:sz w:val="20"/>
        </w:rPr>
        <w:t> </w:t>
      </w:r>
      <w:r>
        <w:rPr>
          <w:position w:val="1"/>
          <w:sz w:val="20"/>
        </w:rPr>
        <w:t>the</w:t>
      </w:r>
      <w:r>
        <w:rPr>
          <w:spacing w:val="-10"/>
          <w:position w:val="1"/>
          <w:sz w:val="20"/>
        </w:rPr>
        <w:t> </w:t>
      </w:r>
      <w:r>
        <w:rPr>
          <w:position w:val="1"/>
          <w:sz w:val="20"/>
        </w:rPr>
        <w:t>stock,</w:t>
      </w:r>
      <w:r>
        <w:rPr>
          <w:spacing w:val="-10"/>
          <w:position w:val="1"/>
          <w:sz w:val="20"/>
        </w:rPr>
        <w:t> </w:t>
      </w:r>
      <w:r>
        <w:rPr>
          <w:spacing w:val="-5"/>
          <w:position w:val="1"/>
          <w:sz w:val="20"/>
        </w:rPr>
        <w:t>and</w:t>
      </w:r>
    </w:p>
    <w:p>
      <w:pPr>
        <w:pStyle w:val="ListParagraph"/>
        <w:numPr>
          <w:ilvl w:val="0"/>
          <w:numId w:val="1"/>
        </w:numPr>
        <w:tabs>
          <w:tab w:pos="328" w:val="left" w:leader="none"/>
        </w:tabs>
        <w:spacing w:line="216" w:lineRule="auto" w:before="0" w:after="0"/>
        <w:ind w:left="119" w:right="527" w:firstLine="15"/>
        <w:jc w:val="left"/>
        <w:rPr>
          <w:sz w:val="20"/>
        </w:rPr>
      </w:pPr>
      <w:r>
        <w:rPr>
          <w:position w:val="1"/>
          <w:sz w:val="20"/>
        </w:rPr>
        <w:t>Amount</w:t>
      </w:r>
      <w:r>
        <w:rPr>
          <w:spacing w:val="-13"/>
          <w:position w:val="1"/>
          <w:sz w:val="20"/>
        </w:rPr>
        <w:t> </w:t>
      </w:r>
      <w:r>
        <w:rPr>
          <w:position w:val="1"/>
          <w:sz w:val="20"/>
        </w:rPr>
        <w:t>of</w:t>
      </w:r>
      <w:r>
        <w:rPr>
          <w:spacing w:val="-13"/>
          <w:position w:val="1"/>
          <w:sz w:val="20"/>
        </w:rPr>
        <w:t> </w:t>
      </w:r>
      <w:r>
        <w:rPr>
          <w:position w:val="1"/>
          <w:sz w:val="20"/>
        </w:rPr>
        <w:t>the</w:t>
      </w:r>
      <w:r>
        <w:rPr>
          <w:spacing w:val="-13"/>
          <w:position w:val="1"/>
          <w:sz w:val="20"/>
        </w:rPr>
        <w:t> </w:t>
      </w:r>
      <w:r>
        <w:rPr>
          <w:position w:val="1"/>
          <w:sz w:val="20"/>
        </w:rPr>
        <w:t>recipient's</w:t>
      </w:r>
      <w:r>
        <w:rPr>
          <w:spacing w:val="-13"/>
          <w:position w:val="1"/>
          <w:sz w:val="20"/>
        </w:rPr>
        <w:t> </w:t>
      </w:r>
      <w:r>
        <w:rPr>
          <w:position w:val="1"/>
          <w:sz w:val="20"/>
        </w:rPr>
        <w:t>section</w:t>
      </w:r>
      <w:r>
        <w:rPr>
          <w:spacing w:val="-13"/>
          <w:position w:val="1"/>
          <w:sz w:val="20"/>
        </w:rPr>
        <w:t> </w:t>
      </w:r>
      <w:r>
        <w:rPr>
          <w:position w:val="1"/>
          <w:sz w:val="20"/>
        </w:rPr>
        <w:t>1202</w:t>
      </w:r>
      <w:r>
        <w:rPr>
          <w:spacing w:val="-13"/>
          <w:position w:val="1"/>
          <w:sz w:val="20"/>
        </w:rPr>
        <w:t> </w:t>
      </w:r>
      <w:r>
        <w:rPr>
          <w:position w:val="1"/>
          <w:sz w:val="20"/>
        </w:rPr>
        <w:t>gain</w:t>
      </w:r>
      <w:r>
        <w:rPr>
          <w:spacing w:val="-13"/>
          <w:position w:val="1"/>
          <w:sz w:val="20"/>
        </w:rPr>
        <w:t> </w:t>
      </w:r>
      <w:r>
        <w:rPr>
          <w:position w:val="1"/>
          <w:sz w:val="20"/>
        </w:rPr>
        <w:t>and</w:t>
      </w:r>
      <w:r>
        <w:rPr>
          <w:spacing w:val="-13"/>
          <w:position w:val="1"/>
          <w:sz w:val="20"/>
        </w:rPr>
        <w:t> </w:t>
      </w:r>
      <w:r>
        <w:rPr>
          <w:position w:val="1"/>
          <w:sz w:val="20"/>
        </w:rPr>
        <w:t>the </w:t>
      </w:r>
      <w:r>
        <w:rPr>
          <w:sz w:val="20"/>
        </w:rPr>
        <w:t>exclusion percentage.</w:t>
      </w:r>
    </w:p>
    <w:p>
      <w:pPr>
        <w:pStyle w:val="BodyText"/>
        <w:spacing w:line="228" w:lineRule="auto" w:before="73"/>
      </w:pPr>
      <w:r>
        <w:rPr>
          <w:rFonts w:ascii="Arial Black"/>
          <w:spacing w:val="-2"/>
        </w:rPr>
        <w:t>Tax</w:t>
      </w:r>
      <w:r>
        <w:rPr>
          <w:rFonts w:ascii="Arial Black"/>
          <w:spacing w:val="-15"/>
        </w:rPr>
        <w:t> </w:t>
      </w:r>
      <w:r>
        <w:rPr>
          <w:rFonts w:ascii="Arial Black"/>
          <w:spacing w:val="-2"/>
        </w:rPr>
        <w:t>credit</w:t>
      </w:r>
      <w:r>
        <w:rPr>
          <w:rFonts w:ascii="Arial Black"/>
          <w:spacing w:val="-15"/>
        </w:rPr>
        <w:t> </w:t>
      </w:r>
      <w:r>
        <w:rPr>
          <w:rFonts w:ascii="Arial Black"/>
          <w:spacing w:val="-2"/>
        </w:rPr>
        <w:t>bonds.</w:t>
      </w:r>
      <w:r>
        <w:rPr>
          <w:rFonts w:ascii="Arial Black"/>
          <w:spacing w:val="2"/>
        </w:rPr>
        <w:t> </w:t>
      </w:r>
      <w:r>
        <w:rPr>
          <w:spacing w:val="-2"/>
        </w:rPr>
        <w:t>If</w:t>
      </w:r>
      <w:r>
        <w:rPr>
          <w:spacing w:val="-12"/>
        </w:rPr>
        <w:t> </w:t>
      </w:r>
      <w:r>
        <w:rPr>
          <w:spacing w:val="-2"/>
        </w:rPr>
        <w:t>a</w:t>
      </w:r>
      <w:r>
        <w:rPr>
          <w:spacing w:val="-12"/>
        </w:rPr>
        <w:t> </w:t>
      </w:r>
      <w:r>
        <w:rPr>
          <w:spacing w:val="-2"/>
        </w:rPr>
        <w:t>RIC</w:t>
      </w:r>
      <w:r>
        <w:rPr>
          <w:spacing w:val="-11"/>
        </w:rPr>
        <w:t> </w:t>
      </w:r>
      <w:r>
        <w:rPr>
          <w:spacing w:val="-2"/>
        </w:rPr>
        <w:t>or</w:t>
      </w:r>
      <w:r>
        <w:rPr>
          <w:spacing w:val="-12"/>
        </w:rPr>
        <w:t> </w:t>
      </w:r>
      <w:r>
        <w:rPr>
          <w:spacing w:val="-2"/>
        </w:rPr>
        <w:t>REIT</w:t>
      </w:r>
      <w:r>
        <w:rPr>
          <w:spacing w:val="-12"/>
        </w:rPr>
        <w:t> </w:t>
      </w:r>
      <w:r>
        <w:rPr>
          <w:spacing w:val="-2"/>
        </w:rPr>
        <w:t>holds</w:t>
      </w:r>
      <w:r>
        <w:rPr>
          <w:spacing w:val="-12"/>
        </w:rPr>
        <w:t> </w:t>
      </w:r>
      <w:r>
        <w:rPr>
          <w:spacing w:val="-2"/>
        </w:rPr>
        <w:t>any</w:t>
      </w:r>
      <w:r>
        <w:rPr>
          <w:spacing w:val="-12"/>
        </w:rPr>
        <w:t> </w:t>
      </w:r>
      <w:r>
        <w:rPr>
          <w:spacing w:val="-2"/>
        </w:rPr>
        <w:t>tax</w:t>
      </w:r>
      <w:r>
        <w:rPr>
          <w:spacing w:val="-12"/>
        </w:rPr>
        <w:t> </w:t>
      </w:r>
      <w:r>
        <w:rPr>
          <w:spacing w:val="-2"/>
        </w:rPr>
        <w:t>credit </w:t>
      </w:r>
      <w:r>
        <w:rPr/>
        <w:t>bonds, any bond tax credit allowed to the RIC or REIT under</w:t>
      </w:r>
      <w:r>
        <w:rPr>
          <w:spacing w:val="-8"/>
        </w:rPr>
        <w:t> </w:t>
      </w:r>
      <w:r>
        <w:rPr/>
        <w:t>section</w:t>
      </w:r>
      <w:r>
        <w:rPr>
          <w:spacing w:val="-8"/>
        </w:rPr>
        <w:t> </w:t>
      </w:r>
      <w:r>
        <w:rPr/>
        <w:t>54A</w:t>
      </w:r>
      <w:r>
        <w:rPr>
          <w:spacing w:val="-8"/>
        </w:rPr>
        <w:t> </w:t>
      </w:r>
      <w:r>
        <w:rPr/>
        <w:t>or</w:t>
      </w:r>
      <w:r>
        <w:rPr>
          <w:spacing w:val="-8"/>
        </w:rPr>
        <w:t> </w:t>
      </w:r>
      <w:r>
        <w:rPr/>
        <w:t>54AA</w:t>
      </w:r>
      <w:r>
        <w:rPr>
          <w:spacing w:val="-8"/>
        </w:rPr>
        <w:t> </w:t>
      </w:r>
      <w:r>
        <w:rPr/>
        <w:t>on</w:t>
      </w:r>
      <w:r>
        <w:rPr>
          <w:spacing w:val="-8"/>
        </w:rPr>
        <w:t> </w:t>
      </w:r>
      <w:r>
        <w:rPr/>
        <w:t>the</w:t>
      </w:r>
      <w:r>
        <w:rPr>
          <w:spacing w:val="-8"/>
        </w:rPr>
        <w:t> </w:t>
      </w:r>
      <w:r>
        <w:rPr/>
        <w:t>bond</w:t>
      </w:r>
      <w:r>
        <w:rPr>
          <w:spacing w:val="-8"/>
        </w:rPr>
        <w:t> </w:t>
      </w:r>
      <w:r>
        <w:rPr/>
        <w:t>is</w:t>
      </w:r>
      <w:r>
        <w:rPr>
          <w:spacing w:val="-8"/>
        </w:rPr>
        <w:t> </w:t>
      </w:r>
      <w:r>
        <w:rPr/>
        <w:t>included</w:t>
      </w:r>
      <w:r>
        <w:rPr>
          <w:spacing w:val="-8"/>
        </w:rPr>
        <w:t> </w:t>
      </w:r>
      <w:r>
        <w:rPr/>
        <w:t>in</w:t>
      </w:r>
      <w:r>
        <w:rPr>
          <w:spacing w:val="-8"/>
        </w:rPr>
        <w:t> </w:t>
      </w:r>
      <w:r>
        <w:rPr/>
        <w:t>the RIC's or REIT's gross income as interest. See sections 54A(f)</w:t>
      </w:r>
      <w:r>
        <w:rPr>
          <w:spacing w:val="-11"/>
        </w:rPr>
        <w:t> </w:t>
      </w:r>
      <w:r>
        <w:rPr/>
        <w:t>and</w:t>
      </w:r>
      <w:r>
        <w:rPr>
          <w:spacing w:val="-11"/>
        </w:rPr>
        <w:t> </w:t>
      </w:r>
      <w:r>
        <w:rPr/>
        <w:t>54AA(f)(2);</w:t>
      </w:r>
      <w:r>
        <w:rPr>
          <w:spacing w:val="-11"/>
        </w:rPr>
        <w:t> </w:t>
      </w:r>
      <w:r>
        <w:rPr/>
        <w:t>and</w:t>
      </w:r>
      <w:r>
        <w:rPr>
          <w:spacing w:val="-11"/>
        </w:rPr>
        <w:t> </w:t>
      </w:r>
      <w:r>
        <w:rPr/>
        <w:t>Notice</w:t>
      </w:r>
      <w:r>
        <w:rPr>
          <w:spacing w:val="-11"/>
        </w:rPr>
        <w:t> </w:t>
      </w:r>
      <w:r>
        <w:rPr/>
        <w:t>2009-15,</w:t>
      </w:r>
      <w:r>
        <w:rPr>
          <w:spacing w:val="-11"/>
        </w:rPr>
        <w:t> </w:t>
      </w:r>
      <w:r>
        <w:rPr/>
        <w:t>2009-6</w:t>
      </w:r>
      <w:r>
        <w:rPr>
          <w:spacing w:val="-11"/>
        </w:rPr>
        <w:t> </w:t>
      </w:r>
      <w:r>
        <w:rPr>
          <w:spacing w:val="-2"/>
        </w:rPr>
        <w:t>I.R.B.</w:t>
      </w:r>
    </w:p>
    <w:p>
      <w:pPr>
        <w:pStyle w:val="BodyText"/>
        <w:spacing w:line="232" w:lineRule="auto" w:before="6"/>
        <w:ind w:right="180"/>
      </w:pPr>
      <w:r>
        <w:rPr>
          <w:spacing w:val="-2"/>
        </w:rPr>
        <w:t>449,</w:t>
      </w:r>
      <w:r>
        <w:rPr>
          <w:spacing w:val="-8"/>
        </w:rPr>
        <w:t> </w:t>
      </w:r>
      <w:r>
        <w:rPr>
          <w:spacing w:val="-2"/>
        </w:rPr>
        <w:t>available</w:t>
      </w:r>
      <w:r>
        <w:rPr>
          <w:spacing w:val="-8"/>
        </w:rPr>
        <w:t> </w:t>
      </w:r>
      <w:r>
        <w:rPr>
          <w:spacing w:val="-2"/>
        </w:rPr>
        <w:t>at</w:t>
      </w:r>
      <w:r>
        <w:rPr>
          <w:spacing w:val="-8"/>
        </w:rPr>
        <w:t> </w:t>
      </w:r>
      <w:hyperlink r:id="rId23">
        <w:r>
          <w:rPr>
            <w:rFonts w:ascii="Arial"/>
            <w:i/>
            <w:color w:val="0056A2"/>
            <w:spacing w:val="-2"/>
            <w:u w:val="single" w:color="0055A1"/>
          </w:rPr>
          <w:t>IRS.gov/irb/2009-06_IRB#NOT-2009-15</w:t>
        </w:r>
      </w:hyperlink>
      <w:r>
        <w:rPr>
          <w:spacing w:val="-2"/>
        </w:rPr>
        <w:t>. </w:t>
      </w:r>
      <w:r>
        <w:rPr/>
        <w:t>RICs can make an election to distribute any bond tax credits allowed under sections 54A and 54AA to its shareholders or beneficiaries. See section 853A. Report bond tax credits distributed by a RIC or REIT on Form </w:t>
      </w:r>
      <w:r>
        <w:rPr>
          <w:spacing w:val="-2"/>
        </w:rPr>
        <w:t>1097-BTC.</w:t>
      </w:r>
    </w:p>
    <w:p>
      <w:pPr>
        <w:pStyle w:val="BodyText"/>
        <w:spacing w:line="232" w:lineRule="auto" w:before="65"/>
        <w:ind w:right="227" w:firstLine="240"/>
        <w:rPr>
          <w:rFonts w:ascii="Arial"/>
          <w:i/>
        </w:rPr>
      </w:pPr>
      <w:r>
        <w:rPr/>
        <w:t>If</w:t>
      </w:r>
      <w:r>
        <w:rPr>
          <w:spacing w:val="-14"/>
        </w:rPr>
        <w:t> </w:t>
      </w:r>
      <w:r>
        <w:rPr/>
        <w:t>a</w:t>
      </w:r>
      <w:r>
        <w:rPr>
          <w:spacing w:val="-14"/>
        </w:rPr>
        <w:t> </w:t>
      </w:r>
      <w:r>
        <w:rPr/>
        <w:t>RIC</w:t>
      </w:r>
      <w:r>
        <w:rPr>
          <w:spacing w:val="-14"/>
        </w:rPr>
        <w:t> </w:t>
      </w:r>
      <w:r>
        <w:rPr/>
        <w:t>or</w:t>
      </w:r>
      <w:r>
        <w:rPr>
          <w:spacing w:val="-14"/>
        </w:rPr>
        <w:t> </w:t>
      </w:r>
      <w:r>
        <w:rPr/>
        <w:t>REIT</w:t>
      </w:r>
      <w:r>
        <w:rPr>
          <w:spacing w:val="-13"/>
        </w:rPr>
        <w:t> </w:t>
      </w:r>
      <w:r>
        <w:rPr/>
        <w:t>distributes</w:t>
      </w:r>
      <w:r>
        <w:rPr>
          <w:spacing w:val="-14"/>
        </w:rPr>
        <w:t> </w:t>
      </w:r>
      <w:r>
        <w:rPr/>
        <w:t>any</w:t>
      </w:r>
      <w:r>
        <w:rPr>
          <w:spacing w:val="-14"/>
        </w:rPr>
        <w:t> </w:t>
      </w:r>
      <w:r>
        <w:rPr/>
        <w:t>credits</w:t>
      </w:r>
      <w:r>
        <w:rPr>
          <w:spacing w:val="-14"/>
        </w:rPr>
        <w:t> </w:t>
      </w:r>
      <w:r>
        <w:rPr/>
        <w:t>with</w:t>
      </w:r>
      <w:r>
        <w:rPr>
          <w:spacing w:val="-14"/>
        </w:rPr>
        <w:t> </w:t>
      </w:r>
      <w:r>
        <w:rPr/>
        <w:t>respect</w:t>
      </w:r>
      <w:r>
        <w:rPr>
          <w:spacing w:val="-14"/>
        </w:rPr>
        <w:t> </w:t>
      </w:r>
      <w:r>
        <w:rPr/>
        <w:t>to its stock, the RIC or REIT must report the distributed credits</w:t>
      </w:r>
      <w:r>
        <w:rPr>
          <w:spacing w:val="-8"/>
        </w:rPr>
        <w:t> </w:t>
      </w:r>
      <w:r>
        <w:rPr/>
        <w:t>that</w:t>
      </w:r>
      <w:r>
        <w:rPr>
          <w:spacing w:val="-8"/>
        </w:rPr>
        <w:t> </w:t>
      </w:r>
      <w:r>
        <w:rPr/>
        <w:t>are</w:t>
      </w:r>
      <w:r>
        <w:rPr>
          <w:spacing w:val="-8"/>
        </w:rPr>
        <w:t> </w:t>
      </w:r>
      <w:r>
        <w:rPr/>
        <w:t>treated</w:t>
      </w:r>
      <w:r>
        <w:rPr>
          <w:spacing w:val="-8"/>
        </w:rPr>
        <w:t> </w:t>
      </w:r>
      <w:r>
        <w:rPr/>
        <w:t>as</w:t>
      </w:r>
      <w:r>
        <w:rPr>
          <w:spacing w:val="-8"/>
        </w:rPr>
        <w:t> </w:t>
      </w:r>
      <w:r>
        <w:rPr/>
        <w:t>dividends</w:t>
      </w:r>
      <w:r>
        <w:rPr>
          <w:spacing w:val="-8"/>
        </w:rPr>
        <w:t> </w:t>
      </w:r>
      <w:r>
        <w:rPr/>
        <w:t>on</w:t>
      </w:r>
      <w:r>
        <w:rPr>
          <w:spacing w:val="-8"/>
        </w:rPr>
        <w:t> </w:t>
      </w:r>
      <w:r>
        <w:rPr/>
        <w:t>Form</w:t>
      </w:r>
      <w:r>
        <w:rPr>
          <w:spacing w:val="-8"/>
        </w:rPr>
        <w:t> </w:t>
      </w:r>
      <w:r>
        <w:rPr/>
        <w:t>1099-DIV. See Notice 2010-28, available at </w:t>
      </w:r>
      <w:hyperlink r:id="rId24">
        <w:r>
          <w:rPr>
            <w:rFonts w:ascii="Arial"/>
            <w:i/>
            <w:color w:val="0056A2"/>
            <w:u w:val="single" w:color="0055A1"/>
          </w:rPr>
          <w:t>IRS.gov/irb/</w:t>
        </w:r>
      </w:hyperlink>
    </w:p>
    <w:p>
      <w:pPr>
        <w:spacing w:line="228" w:lineRule="exact" w:before="0"/>
        <w:ind w:left="120" w:right="0" w:firstLine="0"/>
        <w:jc w:val="left"/>
        <w:rPr>
          <w:sz w:val="20"/>
        </w:rPr>
      </w:pPr>
      <w:hyperlink r:id="rId24">
        <w:r>
          <w:rPr>
            <w:rFonts w:ascii="Arial"/>
            <w:i/>
            <w:color w:val="0056A2"/>
            <w:spacing w:val="-4"/>
            <w:sz w:val="20"/>
            <w:u w:val="single" w:color="0055A1"/>
          </w:rPr>
          <w:t>2010-15_IRB#NOT-2010-</w:t>
        </w:r>
        <w:r>
          <w:rPr>
            <w:rFonts w:ascii="Arial"/>
            <w:i/>
            <w:color w:val="0056A2"/>
            <w:spacing w:val="-5"/>
            <w:sz w:val="20"/>
            <w:u w:val="single" w:color="0055A1"/>
          </w:rPr>
          <w:t>28</w:t>
        </w:r>
      </w:hyperlink>
      <w:r>
        <w:rPr>
          <w:spacing w:val="-5"/>
          <w:sz w:val="20"/>
        </w:rPr>
        <w:t>.</w:t>
      </w:r>
    </w:p>
    <w:p>
      <w:pPr>
        <w:pStyle w:val="BodyText"/>
        <w:spacing w:line="228" w:lineRule="auto" w:before="73"/>
      </w:pPr>
      <w:r>
        <w:rPr>
          <w:rFonts w:ascii="Arial Black"/>
          <w:spacing w:val="-4"/>
        </w:rPr>
        <w:t>Section</w:t>
      </w:r>
      <w:r>
        <w:rPr>
          <w:rFonts w:ascii="Arial Black"/>
          <w:spacing w:val="-13"/>
        </w:rPr>
        <w:t> </w:t>
      </w:r>
      <w:r>
        <w:rPr>
          <w:rFonts w:ascii="Arial Black"/>
          <w:spacing w:val="-4"/>
        </w:rPr>
        <w:t>897</w:t>
      </w:r>
      <w:r>
        <w:rPr>
          <w:rFonts w:ascii="Arial Black"/>
          <w:spacing w:val="-13"/>
        </w:rPr>
        <w:t> </w:t>
      </w:r>
      <w:r>
        <w:rPr>
          <w:rFonts w:ascii="Arial Black"/>
          <w:spacing w:val="-4"/>
        </w:rPr>
        <w:t>gain.</w:t>
      </w:r>
      <w:r>
        <w:rPr>
          <w:rFonts w:ascii="Arial Black"/>
          <w:spacing w:val="-3"/>
        </w:rPr>
        <w:t> </w:t>
      </w:r>
      <w:r>
        <w:rPr>
          <w:spacing w:val="-4"/>
        </w:rPr>
        <w:t>If</w:t>
      </w:r>
      <w:r>
        <w:rPr>
          <w:spacing w:val="-10"/>
        </w:rPr>
        <w:t> </w:t>
      </w:r>
      <w:r>
        <w:rPr>
          <w:spacing w:val="-4"/>
        </w:rPr>
        <w:t>a</w:t>
      </w:r>
      <w:r>
        <w:rPr>
          <w:spacing w:val="-10"/>
        </w:rPr>
        <w:t> </w:t>
      </w:r>
      <w:r>
        <w:rPr>
          <w:spacing w:val="-4"/>
        </w:rPr>
        <w:t>RIC</w:t>
      </w:r>
      <w:r>
        <w:rPr>
          <w:spacing w:val="-10"/>
        </w:rPr>
        <w:t> </w:t>
      </w:r>
      <w:r>
        <w:rPr>
          <w:spacing w:val="-4"/>
        </w:rPr>
        <w:t>described</w:t>
      </w:r>
      <w:r>
        <w:rPr>
          <w:spacing w:val="-10"/>
        </w:rPr>
        <w:t> </w:t>
      </w:r>
      <w:r>
        <w:rPr>
          <w:spacing w:val="-4"/>
        </w:rPr>
        <w:t>in</w:t>
      </w:r>
      <w:r>
        <w:rPr>
          <w:spacing w:val="-9"/>
        </w:rPr>
        <w:t> </w:t>
      </w:r>
      <w:r>
        <w:rPr>
          <w:spacing w:val="-4"/>
        </w:rPr>
        <w:t>section</w:t>
      </w:r>
      <w:r>
        <w:rPr>
          <w:spacing w:val="-10"/>
        </w:rPr>
        <w:t> </w:t>
      </w:r>
      <w:r>
        <w:rPr>
          <w:spacing w:val="-4"/>
        </w:rPr>
        <w:t>897(h)(4) </w:t>
      </w:r>
      <w:r>
        <w:rPr/>
        <w:t>(A)(ii) or a REIT disposes of a USRPI at a gain, any distributions made to the extent attributable to such gain shall be treated as gain recognized by the recipient from the</w:t>
      </w:r>
      <w:r>
        <w:rPr>
          <w:spacing w:val="-2"/>
        </w:rPr>
        <w:t> </w:t>
      </w:r>
      <w:r>
        <w:rPr/>
        <w:t>disposition</w:t>
      </w:r>
      <w:r>
        <w:rPr>
          <w:spacing w:val="-2"/>
        </w:rPr>
        <w:t> </w:t>
      </w:r>
      <w:r>
        <w:rPr/>
        <w:t>of</w:t>
      </w:r>
      <w:r>
        <w:rPr>
          <w:spacing w:val="-2"/>
        </w:rPr>
        <w:t> </w:t>
      </w:r>
      <w:r>
        <w:rPr/>
        <w:t>a</w:t>
      </w:r>
      <w:r>
        <w:rPr>
          <w:spacing w:val="-2"/>
        </w:rPr>
        <w:t> </w:t>
      </w:r>
      <w:r>
        <w:rPr/>
        <w:t>USRPI</w:t>
      </w:r>
      <w:r>
        <w:rPr>
          <w:spacing w:val="-2"/>
        </w:rPr>
        <w:t> </w:t>
      </w:r>
      <w:r>
        <w:rPr/>
        <w:t>(that</w:t>
      </w:r>
      <w:r>
        <w:rPr>
          <w:spacing w:val="-2"/>
        </w:rPr>
        <w:t> </w:t>
      </w:r>
      <w:r>
        <w:rPr/>
        <w:t>is,</w:t>
      </w:r>
      <w:r>
        <w:rPr>
          <w:spacing w:val="-2"/>
        </w:rPr>
        <w:t> </w:t>
      </w:r>
      <w:r>
        <w:rPr/>
        <w:t>the</w:t>
      </w:r>
      <w:r>
        <w:rPr>
          <w:spacing w:val="-2"/>
        </w:rPr>
        <w:t> </w:t>
      </w:r>
      <w:r>
        <w:rPr/>
        <w:t>look-through</w:t>
      </w:r>
      <w:r>
        <w:rPr>
          <w:spacing w:val="-2"/>
        </w:rPr>
        <w:t> </w:t>
      </w:r>
      <w:r>
        <w:rPr/>
        <w:t>rule).</w:t>
      </w:r>
    </w:p>
    <w:p>
      <w:pPr>
        <w:pStyle w:val="BodyText"/>
        <w:spacing w:line="232" w:lineRule="auto" w:before="65"/>
        <w:ind w:right="99" w:firstLine="240"/>
      </w:pPr>
      <w:r>
        <w:rPr/>
        <w:t>If</w:t>
      </w:r>
      <w:r>
        <w:rPr>
          <w:spacing w:val="-11"/>
        </w:rPr>
        <w:t> </w:t>
      </w:r>
      <w:r>
        <w:rPr/>
        <w:t>any</w:t>
      </w:r>
      <w:r>
        <w:rPr>
          <w:spacing w:val="-11"/>
        </w:rPr>
        <w:t> </w:t>
      </w:r>
      <w:r>
        <w:rPr/>
        <w:t>part</w:t>
      </w:r>
      <w:r>
        <w:rPr>
          <w:spacing w:val="-11"/>
        </w:rPr>
        <w:t> </w:t>
      </w:r>
      <w:r>
        <w:rPr/>
        <w:t>of</w:t>
      </w:r>
      <w:r>
        <w:rPr>
          <w:spacing w:val="-11"/>
        </w:rPr>
        <w:t> </w:t>
      </w:r>
      <w:r>
        <w:rPr/>
        <w:t>the</w:t>
      </w:r>
      <w:r>
        <w:rPr>
          <w:spacing w:val="-11"/>
        </w:rPr>
        <w:t> </w:t>
      </w:r>
      <w:r>
        <w:rPr/>
        <w:t>ordinary</w:t>
      </w:r>
      <w:r>
        <w:rPr>
          <w:spacing w:val="-11"/>
        </w:rPr>
        <w:t> </w:t>
      </w:r>
      <w:r>
        <w:rPr/>
        <w:t>dividend</w:t>
      </w:r>
      <w:r>
        <w:rPr>
          <w:spacing w:val="-11"/>
        </w:rPr>
        <w:t> </w:t>
      </w:r>
      <w:r>
        <w:rPr/>
        <w:t>reported</w:t>
      </w:r>
      <w:r>
        <w:rPr>
          <w:spacing w:val="-11"/>
        </w:rPr>
        <w:t> </w:t>
      </w:r>
      <w:r>
        <w:rPr/>
        <w:t>in</w:t>
      </w:r>
      <w:r>
        <w:rPr>
          <w:spacing w:val="-13"/>
        </w:rPr>
        <w:t> </w:t>
      </w:r>
      <w:hyperlink w:history="true" w:anchor="_bookmark14">
        <w:r>
          <w:rPr>
            <w:color w:val="0056A2"/>
            <w:u w:val="single" w:color="0055A1"/>
          </w:rPr>
          <w:t>box</w:t>
        </w:r>
        <w:r>
          <w:rPr>
            <w:color w:val="0056A2"/>
            <w:spacing w:val="-11"/>
            <w:u w:val="single" w:color="0055A1"/>
          </w:rPr>
          <w:t> </w:t>
        </w:r>
        <w:r>
          <w:rPr>
            <w:color w:val="0056A2"/>
            <w:u w:val="single" w:color="0055A1"/>
          </w:rPr>
          <w:t>1a</w:t>
        </w:r>
      </w:hyperlink>
      <w:r>
        <w:rPr>
          <w:color w:val="0056A2"/>
          <w:spacing w:val="-11"/>
        </w:rPr>
        <w:t> </w:t>
      </w:r>
      <w:r>
        <w:rPr/>
        <w:t>or capital</w:t>
      </w:r>
      <w:r>
        <w:rPr>
          <w:spacing w:val="-1"/>
        </w:rPr>
        <w:t> </w:t>
      </w:r>
      <w:r>
        <w:rPr/>
        <w:t>gain</w:t>
      </w:r>
      <w:r>
        <w:rPr>
          <w:spacing w:val="-1"/>
        </w:rPr>
        <w:t> </w:t>
      </w:r>
      <w:r>
        <w:rPr/>
        <w:t>distributions</w:t>
      </w:r>
      <w:r>
        <w:rPr>
          <w:spacing w:val="-1"/>
        </w:rPr>
        <w:t> </w:t>
      </w:r>
      <w:r>
        <w:rPr/>
        <w:t>reported</w:t>
      </w:r>
      <w:r>
        <w:rPr>
          <w:spacing w:val="-1"/>
        </w:rPr>
        <w:t> </w:t>
      </w:r>
      <w:r>
        <w:rPr/>
        <w:t>in</w:t>
      </w:r>
      <w:r>
        <w:rPr>
          <w:spacing w:val="-1"/>
        </w:rPr>
        <w:t> </w:t>
      </w:r>
      <w:hyperlink w:history="true" w:anchor="_bookmark8">
        <w:r>
          <w:rPr>
            <w:color w:val="0056A2"/>
            <w:u w:val="single" w:color="0055A1"/>
          </w:rPr>
          <w:t>box</w:t>
        </w:r>
        <w:r>
          <w:rPr>
            <w:color w:val="0056A2"/>
            <w:spacing w:val="-1"/>
            <w:u w:val="single" w:color="0055A1"/>
          </w:rPr>
          <w:t> </w:t>
        </w:r>
        <w:r>
          <w:rPr>
            <w:color w:val="0056A2"/>
            <w:u w:val="single" w:color="0055A1"/>
          </w:rPr>
          <w:t>2a</w:t>
        </w:r>
      </w:hyperlink>
      <w:r>
        <w:rPr>
          <w:color w:val="0056A2"/>
          <w:spacing w:val="-1"/>
        </w:rPr>
        <w:t> </w:t>
      </w:r>
      <w:r>
        <w:rPr/>
        <w:t>is</w:t>
      </w:r>
      <w:r>
        <w:rPr>
          <w:spacing w:val="-1"/>
        </w:rPr>
        <w:t> </w:t>
      </w:r>
      <w:r>
        <w:rPr/>
        <w:t>attributable to</w:t>
      </w:r>
      <w:r>
        <w:rPr>
          <w:spacing w:val="-9"/>
        </w:rPr>
        <w:t> </w:t>
      </w:r>
      <w:r>
        <w:rPr/>
        <w:t>section</w:t>
      </w:r>
      <w:r>
        <w:rPr>
          <w:spacing w:val="-9"/>
        </w:rPr>
        <w:t> </w:t>
      </w:r>
      <w:r>
        <w:rPr/>
        <w:t>897</w:t>
      </w:r>
      <w:r>
        <w:rPr>
          <w:spacing w:val="-9"/>
        </w:rPr>
        <w:t> </w:t>
      </w:r>
      <w:r>
        <w:rPr/>
        <w:t>gains,</w:t>
      </w:r>
      <w:r>
        <w:rPr>
          <w:spacing w:val="-9"/>
        </w:rPr>
        <w:t> </w:t>
      </w:r>
      <w:r>
        <w:rPr/>
        <w:t>report</w:t>
      </w:r>
      <w:r>
        <w:rPr>
          <w:spacing w:val="-9"/>
        </w:rPr>
        <w:t> </w:t>
      </w:r>
      <w:r>
        <w:rPr/>
        <w:t>that</w:t>
      </w:r>
      <w:r>
        <w:rPr>
          <w:spacing w:val="-9"/>
        </w:rPr>
        <w:t> </w:t>
      </w:r>
      <w:r>
        <w:rPr/>
        <w:t>gain</w:t>
      </w:r>
      <w:r>
        <w:rPr>
          <w:spacing w:val="-9"/>
        </w:rPr>
        <w:t> </w:t>
      </w:r>
      <w:r>
        <w:rPr/>
        <w:t>in</w:t>
      </w:r>
      <w:r>
        <w:rPr>
          <w:spacing w:val="-10"/>
        </w:rPr>
        <w:t> </w:t>
      </w:r>
      <w:hyperlink w:history="true" w:anchor="_bookmark12">
        <w:r>
          <w:rPr>
            <w:color w:val="0056A2"/>
            <w:u w:val="single" w:color="0055A1"/>
          </w:rPr>
          <w:t>box</w:t>
        </w:r>
        <w:r>
          <w:rPr>
            <w:color w:val="0056A2"/>
            <w:spacing w:val="-9"/>
            <w:u w:val="single" w:color="0055A1"/>
          </w:rPr>
          <w:t> </w:t>
        </w:r>
        <w:r>
          <w:rPr>
            <w:color w:val="0056A2"/>
            <w:u w:val="single" w:color="0055A1"/>
          </w:rPr>
          <w:t>2e</w:t>
        </w:r>
      </w:hyperlink>
      <w:r>
        <w:rPr>
          <w:color w:val="0056A2"/>
          <w:spacing w:val="-9"/>
        </w:rPr>
        <w:t> </w:t>
      </w:r>
      <w:r>
        <w:rPr/>
        <w:t>and</w:t>
      </w:r>
      <w:r>
        <w:rPr>
          <w:spacing w:val="-9"/>
        </w:rPr>
        <w:t> </w:t>
      </w:r>
      <w:hyperlink w:history="true" w:anchor="_bookmark13">
        <w:r>
          <w:rPr>
            <w:color w:val="0056A2"/>
            <w:u w:val="single" w:color="0055A1"/>
          </w:rPr>
          <w:t>box</w:t>
        </w:r>
        <w:r>
          <w:rPr>
            <w:color w:val="0056A2"/>
            <w:spacing w:val="-9"/>
            <w:u w:val="single" w:color="0055A1"/>
          </w:rPr>
          <w:t> </w:t>
        </w:r>
        <w:r>
          <w:rPr>
            <w:color w:val="0056A2"/>
            <w:u w:val="single" w:color="0055A1"/>
          </w:rPr>
          <w:t>2f</w:t>
        </w:r>
      </w:hyperlink>
      <w:r>
        <w:rPr/>
        <w:t>, </w:t>
      </w:r>
      <w:r>
        <w:rPr>
          <w:spacing w:val="-2"/>
        </w:rPr>
        <w:t>respectively.</w:t>
      </w:r>
    </w:p>
    <w:p>
      <w:pPr>
        <w:pStyle w:val="BodyText"/>
        <w:spacing w:line="232" w:lineRule="auto" w:before="64"/>
        <w:ind w:firstLine="240"/>
      </w:pPr>
      <w:r>
        <w:rPr/>
        <w:t>See</w:t>
      </w:r>
      <w:r>
        <w:rPr>
          <w:spacing w:val="-14"/>
        </w:rPr>
        <w:t> </w:t>
      </w:r>
      <w:r>
        <w:rPr/>
        <w:t>section</w:t>
      </w:r>
      <w:r>
        <w:rPr>
          <w:spacing w:val="-14"/>
        </w:rPr>
        <w:t> </w:t>
      </w:r>
      <w:r>
        <w:rPr/>
        <w:t>897</w:t>
      </w:r>
      <w:r>
        <w:rPr>
          <w:spacing w:val="-14"/>
        </w:rPr>
        <w:t> </w:t>
      </w:r>
      <w:r>
        <w:rPr/>
        <w:t>for</w:t>
      </w:r>
      <w:r>
        <w:rPr>
          <w:spacing w:val="-14"/>
        </w:rPr>
        <w:t> </w:t>
      </w:r>
      <w:r>
        <w:rPr/>
        <w:t>the</w:t>
      </w:r>
      <w:r>
        <w:rPr>
          <w:spacing w:val="-13"/>
        </w:rPr>
        <w:t> </w:t>
      </w:r>
      <w:r>
        <w:rPr/>
        <w:t>definition</w:t>
      </w:r>
      <w:r>
        <w:rPr>
          <w:spacing w:val="-14"/>
        </w:rPr>
        <w:t> </w:t>
      </w:r>
      <w:r>
        <w:rPr/>
        <w:t>of</w:t>
      </w:r>
      <w:r>
        <w:rPr>
          <w:spacing w:val="-14"/>
        </w:rPr>
        <w:t> </w:t>
      </w:r>
      <w:r>
        <w:rPr/>
        <w:t>USRPI</w:t>
      </w:r>
      <w:r>
        <w:rPr>
          <w:spacing w:val="-14"/>
        </w:rPr>
        <w:t> </w:t>
      </w:r>
      <w:r>
        <w:rPr/>
        <w:t>and</w:t>
      </w:r>
      <w:r>
        <w:rPr>
          <w:spacing w:val="-14"/>
        </w:rPr>
        <w:t> </w:t>
      </w:r>
      <w:r>
        <w:rPr/>
        <w:t>the exceptions to the look-through rule.</w:t>
      </w:r>
    </w:p>
    <w:p>
      <w:pPr>
        <w:pStyle w:val="BodyText"/>
        <w:spacing w:line="223" w:lineRule="auto" w:before="159"/>
        <w:ind w:right="227"/>
      </w:pPr>
      <w:r>
        <w:rPr>
          <w:rFonts w:ascii="Arial Black"/>
        </w:rPr>
        <w:t>Note.</w:t>
      </w:r>
      <w:r>
        <w:rPr>
          <w:rFonts w:ascii="Arial Black"/>
          <w:spacing w:val="18"/>
        </w:rPr>
        <w:t> </w:t>
      </w:r>
      <w:r>
        <w:rPr/>
        <w:t>Only</w:t>
      </w:r>
      <w:r>
        <w:rPr>
          <w:spacing w:val="-14"/>
        </w:rPr>
        <w:t> </w:t>
      </w:r>
      <w:r>
        <w:rPr/>
        <w:t>RICs</w:t>
      </w:r>
      <w:r>
        <w:rPr>
          <w:spacing w:val="-14"/>
        </w:rPr>
        <w:t> </w:t>
      </w:r>
      <w:r>
        <w:rPr/>
        <w:t>and</w:t>
      </w:r>
      <w:r>
        <w:rPr>
          <w:spacing w:val="-14"/>
        </w:rPr>
        <w:t> </w:t>
      </w:r>
      <w:r>
        <w:rPr/>
        <w:t>REITs</w:t>
      </w:r>
      <w:r>
        <w:rPr>
          <w:spacing w:val="-14"/>
        </w:rPr>
        <w:t> </w:t>
      </w:r>
      <w:r>
        <w:rPr/>
        <w:t>should</w:t>
      </w:r>
      <w:r>
        <w:rPr>
          <w:spacing w:val="-14"/>
        </w:rPr>
        <w:t> </w:t>
      </w:r>
      <w:r>
        <w:rPr/>
        <w:t>complete</w:t>
      </w:r>
      <w:r>
        <w:rPr>
          <w:spacing w:val="-14"/>
        </w:rPr>
        <w:t> </w:t>
      </w:r>
      <w:r>
        <w:rPr/>
        <w:t>boxes</w:t>
      </w:r>
      <w:r>
        <w:rPr>
          <w:spacing w:val="-13"/>
        </w:rPr>
        <w:t> </w:t>
      </w:r>
      <w:hyperlink w:history="true" w:anchor="_bookmark12">
        <w:r>
          <w:rPr>
            <w:color w:val="0056A2"/>
            <w:u w:val="single" w:color="0055A1"/>
          </w:rPr>
          <w:t>2e</w:t>
        </w:r>
      </w:hyperlink>
      <w:r>
        <w:rPr>
          <w:color w:val="0056A2"/>
        </w:rPr>
        <w:t> </w:t>
      </w:r>
      <w:r>
        <w:rPr/>
        <w:t>and</w:t>
      </w:r>
      <w:r>
        <w:rPr>
          <w:spacing w:val="-11"/>
        </w:rPr>
        <w:t> </w:t>
      </w:r>
      <w:hyperlink w:history="true" w:anchor="_bookmark13">
        <w:r>
          <w:rPr>
            <w:color w:val="0056A2"/>
            <w:u w:val="single" w:color="0055A1"/>
          </w:rPr>
          <w:t>2f</w:t>
        </w:r>
      </w:hyperlink>
      <w:r>
        <w:rPr/>
        <w:t>.</w:t>
      </w:r>
      <w:r>
        <w:rPr>
          <w:spacing w:val="-11"/>
        </w:rPr>
        <w:t> </w:t>
      </w:r>
      <w:r>
        <w:rPr/>
        <w:t>Boxes</w:t>
      </w:r>
      <w:r>
        <w:rPr>
          <w:spacing w:val="-11"/>
        </w:rPr>
        <w:t> </w:t>
      </w:r>
      <w:hyperlink w:history="true" w:anchor="_bookmark12">
        <w:r>
          <w:rPr>
            <w:color w:val="0056A2"/>
            <w:u w:val="single" w:color="0055A1"/>
          </w:rPr>
          <w:t>2e</w:t>
        </w:r>
      </w:hyperlink>
      <w:r>
        <w:rPr>
          <w:color w:val="0056A2"/>
          <w:spacing w:val="-11"/>
        </w:rPr>
        <w:t> </w:t>
      </w:r>
      <w:r>
        <w:rPr/>
        <w:t>and</w:t>
      </w:r>
      <w:r>
        <w:rPr>
          <w:spacing w:val="-11"/>
        </w:rPr>
        <w:t> </w:t>
      </w:r>
      <w:hyperlink w:history="true" w:anchor="_bookmark13">
        <w:r>
          <w:rPr>
            <w:color w:val="0056A2"/>
            <w:u w:val="single" w:color="0055A1"/>
          </w:rPr>
          <w:t>2f</w:t>
        </w:r>
      </w:hyperlink>
      <w:r>
        <w:rPr>
          <w:color w:val="0056A2"/>
          <w:spacing w:val="-11"/>
        </w:rPr>
        <w:t> </w:t>
      </w:r>
      <w:r>
        <w:rPr/>
        <w:t>do</w:t>
      </w:r>
      <w:r>
        <w:rPr>
          <w:spacing w:val="-11"/>
        </w:rPr>
        <w:t> </w:t>
      </w:r>
      <w:r>
        <w:rPr/>
        <w:t>not</w:t>
      </w:r>
      <w:r>
        <w:rPr>
          <w:spacing w:val="-11"/>
        </w:rPr>
        <w:t> </w:t>
      </w:r>
      <w:r>
        <w:rPr/>
        <w:t>need</w:t>
      </w:r>
      <w:r>
        <w:rPr>
          <w:spacing w:val="-11"/>
        </w:rPr>
        <w:t> </w:t>
      </w:r>
      <w:r>
        <w:rPr/>
        <w:t>to</w:t>
      </w:r>
      <w:r>
        <w:rPr>
          <w:spacing w:val="-11"/>
        </w:rPr>
        <w:t> </w:t>
      </w:r>
      <w:r>
        <w:rPr/>
        <w:t>be</w:t>
      </w:r>
      <w:r>
        <w:rPr>
          <w:spacing w:val="-11"/>
        </w:rPr>
        <w:t> </w:t>
      </w:r>
      <w:r>
        <w:rPr/>
        <w:t>completed</w:t>
      </w:r>
      <w:r>
        <w:rPr>
          <w:spacing w:val="-11"/>
        </w:rPr>
        <w:t> </w:t>
      </w:r>
      <w:r>
        <w:rPr/>
        <w:t>for recipients that are U.S. individuals.</w:t>
      </w:r>
    </w:p>
    <w:p>
      <w:pPr>
        <w:pStyle w:val="Heading2"/>
        <w:spacing w:before="127"/>
      </w:pPr>
      <w:r>
        <w:rPr>
          <w:w w:val="85"/>
        </w:rPr>
        <w:t>Restricted</w:t>
      </w:r>
      <w:r>
        <w:rPr>
          <w:spacing w:val="-6"/>
          <w:w w:val="95"/>
        </w:rPr>
        <w:t> </w:t>
      </w:r>
      <w:r>
        <w:rPr>
          <w:spacing w:val="-2"/>
          <w:w w:val="95"/>
        </w:rPr>
        <w:t>Stock</w:t>
      </w:r>
    </w:p>
    <w:p>
      <w:pPr>
        <w:pStyle w:val="BodyText"/>
        <w:spacing w:line="232" w:lineRule="auto" w:before="27"/>
        <w:ind w:left="119" w:right="227"/>
      </w:pPr>
      <w:r>
        <w:rPr/>
        <w:t>For</w:t>
      </w:r>
      <w:r>
        <w:rPr>
          <w:spacing w:val="-14"/>
        </w:rPr>
        <w:t> </w:t>
      </w:r>
      <w:r>
        <w:rPr/>
        <w:t>information</w:t>
      </w:r>
      <w:r>
        <w:rPr>
          <w:spacing w:val="-14"/>
        </w:rPr>
        <w:t> </w:t>
      </w:r>
      <w:r>
        <w:rPr/>
        <w:t>about</w:t>
      </w:r>
      <w:r>
        <w:rPr>
          <w:spacing w:val="-14"/>
        </w:rPr>
        <w:t> </w:t>
      </w:r>
      <w:r>
        <w:rPr/>
        <w:t>reporting</w:t>
      </w:r>
      <w:r>
        <w:rPr>
          <w:spacing w:val="-14"/>
        </w:rPr>
        <w:t> </w:t>
      </w:r>
      <w:r>
        <w:rPr/>
        <w:t>dividends</w:t>
      </w:r>
      <w:r>
        <w:rPr>
          <w:spacing w:val="-14"/>
        </w:rPr>
        <w:t> </w:t>
      </w:r>
      <w:r>
        <w:rPr/>
        <w:t>on</w:t>
      </w:r>
      <w:r>
        <w:rPr>
          <w:spacing w:val="-14"/>
        </w:rPr>
        <w:t> </w:t>
      </w:r>
      <w:r>
        <w:rPr/>
        <w:t>restricted stock, see Rev. Proc. 80-11, 1980-1 C.B. 616,</w:t>
      </w:r>
    </w:p>
    <w:p>
      <w:pPr>
        <w:pStyle w:val="BodyText"/>
        <w:spacing w:line="223" w:lineRule="exact"/>
        <w:ind w:left="119"/>
      </w:pPr>
      <w:r>
        <w:rPr>
          <w:spacing w:val="-2"/>
        </w:rPr>
        <w:t>distinguished</w:t>
      </w:r>
      <w:r>
        <w:rPr>
          <w:spacing w:val="-3"/>
        </w:rPr>
        <w:t> </w:t>
      </w:r>
      <w:r>
        <w:rPr>
          <w:spacing w:val="-2"/>
        </w:rPr>
        <w:t>by</w:t>
      </w:r>
      <w:r>
        <w:rPr>
          <w:spacing w:val="-3"/>
        </w:rPr>
        <w:t> </w:t>
      </w:r>
      <w:r>
        <w:rPr>
          <w:spacing w:val="-2"/>
        </w:rPr>
        <w:t>Rev.</w:t>
      </w:r>
      <w:r>
        <w:rPr>
          <w:spacing w:val="-3"/>
        </w:rPr>
        <w:t> </w:t>
      </w:r>
      <w:r>
        <w:rPr>
          <w:spacing w:val="-2"/>
        </w:rPr>
        <w:t>Proc.</w:t>
      </w:r>
      <w:r>
        <w:rPr>
          <w:spacing w:val="-3"/>
        </w:rPr>
        <w:t> </w:t>
      </w:r>
      <w:r>
        <w:rPr>
          <w:spacing w:val="-2"/>
        </w:rPr>
        <w:t>83-38,</w:t>
      </w:r>
      <w:r>
        <w:rPr>
          <w:spacing w:val="-3"/>
        </w:rPr>
        <w:t> </w:t>
      </w:r>
      <w:r>
        <w:rPr>
          <w:spacing w:val="-2"/>
        </w:rPr>
        <w:t>1983-1</w:t>
      </w:r>
      <w:r>
        <w:rPr>
          <w:spacing w:val="-3"/>
        </w:rPr>
        <w:t> </w:t>
      </w:r>
      <w:r>
        <w:rPr>
          <w:spacing w:val="-2"/>
        </w:rPr>
        <w:t>C.B.</w:t>
      </w:r>
      <w:r>
        <w:rPr>
          <w:spacing w:val="-3"/>
        </w:rPr>
        <w:t> </w:t>
      </w:r>
      <w:r>
        <w:rPr>
          <w:spacing w:val="-2"/>
        </w:rPr>
        <w:t>773;</w:t>
      </w:r>
      <w:r>
        <w:rPr>
          <w:spacing w:val="-3"/>
        </w:rPr>
        <w:t> </w:t>
      </w:r>
      <w:r>
        <w:rPr>
          <w:spacing w:val="-5"/>
        </w:rPr>
        <w:t>and</w:t>
      </w:r>
    </w:p>
    <w:p>
      <w:pPr>
        <w:pStyle w:val="BodyText"/>
        <w:spacing w:line="227" w:lineRule="exact"/>
        <w:ind w:left="119"/>
      </w:pPr>
      <w:r>
        <w:rPr>
          <w:spacing w:val="-2"/>
        </w:rPr>
        <w:t>Rev.</w:t>
      </w:r>
      <w:r>
        <w:rPr>
          <w:spacing w:val="-10"/>
        </w:rPr>
        <w:t> </w:t>
      </w:r>
      <w:r>
        <w:rPr>
          <w:spacing w:val="-2"/>
        </w:rPr>
        <w:t>Rul.</w:t>
      </w:r>
      <w:r>
        <w:rPr>
          <w:spacing w:val="-8"/>
        </w:rPr>
        <w:t> </w:t>
      </w:r>
      <w:r>
        <w:rPr>
          <w:spacing w:val="-2"/>
        </w:rPr>
        <w:t>83-22,</w:t>
      </w:r>
      <w:r>
        <w:rPr>
          <w:spacing w:val="-8"/>
        </w:rPr>
        <w:t> </w:t>
      </w:r>
      <w:r>
        <w:rPr>
          <w:spacing w:val="-2"/>
        </w:rPr>
        <w:t>1983-1</w:t>
      </w:r>
      <w:r>
        <w:rPr>
          <w:spacing w:val="-8"/>
        </w:rPr>
        <w:t> </w:t>
      </w:r>
      <w:r>
        <w:rPr>
          <w:spacing w:val="-2"/>
        </w:rPr>
        <w:t>C.B.</w:t>
      </w:r>
      <w:r>
        <w:rPr>
          <w:spacing w:val="-8"/>
        </w:rPr>
        <w:t> </w:t>
      </w:r>
      <w:r>
        <w:rPr>
          <w:spacing w:val="-5"/>
        </w:rPr>
        <w:t>17.</w:t>
      </w:r>
    </w:p>
    <w:p>
      <w:pPr>
        <w:pStyle w:val="BodyText"/>
        <w:spacing w:line="237" w:lineRule="auto" w:before="125"/>
        <w:ind w:right="119"/>
      </w:pPr>
      <w:r>
        <w:rPr>
          <w:rFonts w:ascii="Arial Black"/>
          <w:w w:val="90"/>
          <w:sz w:val="22"/>
        </w:rPr>
        <w:t>Widely</w:t>
      </w:r>
      <w:r>
        <w:rPr>
          <w:rFonts w:ascii="Arial Black"/>
          <w:spacing w:val="-11"/>
          <w:w w:val="90"/>
          <w:sz w:val="22"/>
        </w:rPr>
        <w:t> </w:t>
      </w:r>
      <w:r>
        <w:rPr>
          <w:rFonts w:ascii="Arial Black"/>
          <w:w w:val="90"/>
          <w:sz w:val="22"/>
        </w:rPr>
        <w:t>Held</w:t>
      </w:r>
      <w:r>
        <w:rPr>
          <w:rFonts w:ascii="Arial Black"/>
          <w:spacing w:val="-12"/>
          <w:w w:val="90"/>
          <w:sz w:val="22"/>
        </w:rPr>
        <w:t> </w:t>
      </w:r>
      <w:r>
        <w:rPr>
          <w:rFonts w:ascii="Arial Black"/>
          <w:w w:val="90"/>
          <w:sz w:val="22"/>
        </w:rPr>
        <w:t>Fixed</w:t>
      </w:r>
      <w:r>
        <w:rPr>
          <w:rFonts w:ascii="Arial Black"/>
          <w:spacing w:val="-11"/>
          <w:w w:val="90"/>
          <w:sz w:val="22"/>
        </w:rPr>
        <w:t> </w:t>
      </w:r>
      <w:r>
        <w:rPr>
          <w:rFonts w:ascii="Arial Black"/>
          <w:w w:val="90"/>
          <w:sz w:val="22"/>
        </w:rPr>
        <w:t>Investment</w:t>
      </w:r>
      <w:r>
        <w:rPr>
          <w:rFonts w:ascii="Arial Black"/>
          <w:spacing w:val="-11"/>
          <w:w w:val="90"/>
          <w:sz w:val="22"/>
        </w:rPr>
        <w:t> </w:t>
      </w:r>
      <w:r>
        <w:rPr>
          <w:rFonts w:ascii="Arial Black"/>
          <w:w w:val="90"/>
          <w:sz w:val="22"/>
        </w:rPr>
        <w:t>Trusts</w:t>
      </w:r>
      <w:r>
        <w:rPr>
          <w:rFonts w:ascii="Arial Black"/>
          <w:spacing w:val="-11"/>
          <w:w w:val="90"/>
          <w:sz w:val="22"/>
        </w:rPr>
        <w:t> </w:t>
      </w:r>
      <w:r>
        <w:rPr>
          <w:rFonts w:ascii="Arial Black"/>
          <w:w w:val="90"/>
          <w:sz w:val="22"/>
        </w:rPr>
        <w:t>(WHFITs) </w:t>
      </w:r>
      <w:r>
        <w:rPr/>
        <w:t>Trustees</w:t>
      </w:r>
      <w:r>
        <w:rPr>
          <w:spacing w:val="-6"/>
        </w:rPr>
        <w:t> </w:t>
      </w:r>
      <w:r>
        <w:rPr/>
        <w:t>and</w:t>
      </w:r>
      <w:r>
        <w:rPr>
          <w:spacing w:val="-6"/>
        </w:rPr>
        <w:t> </w:t>
      </w:r>
      <w:r>
        <w:rPr/>
        <w:t>middlemen</w:t>
      </w:r>
      <w:r>
        <w:rPr>
          <w:spacing w:val="-6"/>
        </w:rPr>
        <w:t> </w:t>
      </w:r>
      <w:r>
        <w:rPr/>
        <w:t>must</w:t>
      </w:r>
      <w:r>
        <w:rPr>
          <w:spacing w:val="-6"/>
        </w:rPr>
        <w:t> </w:t>
      </w:r>
      <w:r>
        <w:rPr/>
        <w:t>report</w:t>
      </w:r>
      <w:r>
        <w:rPr>
          <w:spacing w:val="-6"/>
        </w:rPr>
        <w:t> </w:t>
      </w:r>
      <w:r>
        <w:rPr/>
        <w:t>the</w:t>
      </w:r>
      <w:r>
        <w:rPr>
          <w:spacing w:val="-6"/>
        </w:rPr>
        <w:t> </w:t>
      </w:r>
      <w:r>
        <w:rPr/>
        <w:t>gross</w:t>
      </w:r>
      <w:r>
        <w:rPr>
          <w:spacing w:val="-6"/>
        </w:rPr>
        <w:t> </w:t>
      </w:r>
      <w:r>
        <w:rPr/>
        <w:t>amount</w:t>
      </w:r>
      <w:r>
        <w:rPr>
          <w:spacing w:val="-6"/>
        </w:rPr>
        <w:t> </w:t>
      </w:r>
      <w:r>
        <w:rPr/>
        <w:t>of dividend</w:t>
      </w:r>
      <w:r>
        <w:rPr>
          <w:spacing w:val="-12"/>
        </w:rPr>
        <w:t> </w:t>
      </w:r>
      <w:r>
        <w:rPr/>
        <w:t>income</w:t>
      </w:r>
      <w:r>
        <w:rPr>
          <w:spacing w:val="-13"/>
        </w:rPr>
        <w:t> </w:t>
      </w:r>
      <w:r>
        <w:rPr/>
        <w:t>attributable</w:t>
      </w:r>
      <w:r>
        <w:rPr>
          <w:spacing w:val="-12"/>
        </w:rPr>
        <w:t> </w:t>
      </w:r>
      <w:r>
        <w:rPr/>
        <w:t>to</w:t>
      </w:r>
      <w:r>
        <w:rPr>
          <w:spacing w:val="-13"/>
        </w:rPr>
        <w:t> </w:t>
      </w:r>
      <w:r>
        <w:rPr/>
        <w:t>a</w:t>
      </w:r>
      <w:r>
        <w:rPr>
          <w:spacing w:val="-12"/>
        </w:rPr>
        <w:t> </w:t>
      </w:r>
      <w:r>
        <w:rPr/>
        <w:t>trust</w:t>
      </w:r>
      <w:r>
        <w:rPr>
          <w:spacing w:val="-13"/>
        </w:rPr>
        <w:t> </w:t>
      </w:r>
      <w:r>
        <w:rPr/>
        <w:t>income</w:t>
      </w:r>
      <w:r>
        <w:rPr>
          <w:spacing w:val="-12"/>
        </w:rPr>
        <w:t> </w:t>
      </w:r>
      <w:r>
        <w:rPr/>
        <w:t>holder</w:t>
      </w:r>
      <w:r>
        <w:rPr>
          <w:spacing w:val="-13"/>
        </w:rPr>
        <w:t> </w:t>
      </w:r>
      <w:r>
        <w:rPr/>
        <w:t>(TIH) in the appropriate box on Form 1099-DIV if that amount exceeds</w:t>
      </w:r>
      <w:r>
        <w:rPr>
          <w:spacing w:val="-10"/>
        </w:rPr>
        <w:t> </w:t>
      </w:r>
      <w:r>
        <w:rPr/>
        <w:t>$10.</w:t>
      </w:r>
      <w:r>
        <w:rPr>
          <w:spacing w:val="-10"/>
        </w:rPr>
        <w:t> </w:t>
      </w:r>
      <w:r>
        <w:rPr/>
        <w:t>If</w:t>
      </w:r>
      <w:r>
        <w:rPr>
          <w:spacing w:val="-10"/>
        </w:rPr>
        <w:t> </w:t>
      </w:r>
      <w:r>
        <w:rPr/>
        <w:t>the</w:t>
      </w:r>
      <w:r>
        <w:rPr>
          <w:spacing w:val="-10"/>
        </w:rPr>
        <w:t> </w:t>
      </w:r>
      <w:r>
        <w:rPr/>
        <w:t>trustee</w:t>
      </w:r>
      <w:r>
        <w:rPr>
          <w:spacing w:val="-10"/>
        </w:rPr>
        <w:t> </w:t>
      </w:r>
      <w:r>
        <w:rPr/>
        <w:t>or</w:t>
      </w:r>
      <w:r>
        <w:rPr>
          <w:spacing w:val="-10"/>
        </w:rPr>
        <w:t> </w:t>
      </w:r>
      <w:r>
        <w:rPr/>
        <w:t>middleman</w:t>
      </w:r>
      <w:r>
        <w:rPr>
          <w:spacing w:val="-10"/>
        </w:rPr>
        <w:t> </w:t>
      </w:r>
      <w:r>
        <w:rPr/>
        <w:t>provides</w:t>
      </w:r>
      <w:r>
        <w:rPr>
          <w:spacing w:val="-10"/>
        </w:rPr>
        <w:t> </w:t>
      </w:r>
      <w:r>
        <w:rPr/>
        <w:t>WHFIT information using the safe harbor rules in Regulations section 1.671-5(f)(1) or (g)(1), the trustee or middleman</w:t>
      </w:r>
    </w:p>
    <w:p>
      <w:pPr>
        <w:pStyle w:val="BodyText"/>
        <w:spacing w:line="232" w:lineRule="auto" w:before="6"/>
      </w:pPr>
      <w:r>
        <w:rPr/>
        <w:t>must</w:t>
      </w:r>
      <w:r>
        <w:rPr>
          <w:spacing w:val="-14"/>
        </w:rPr>
        <w:t> </w:t>
      </w:r>
      <w:r>
        <w:rPr/>
        <w:t>determine</w:t>
      </w:r>
      <w:r>
        <w:rPr>
          <w:spacing w:val="-14"/>
        </w:rPr>
        <w:t> </w:t>
      </w:r>
      <w:r>
        <w:rPr/>
        <w:t>the</w:t>
      </w:r>
      <w:r>
        <w:rPr>
          <w:spacing w:val="-14"/>
        </w:rPr>
        <w:t> </w:t>
      </w:r>
      <w:r>
        <w:rPr/>
        <w:t>amounts</w:t>
      </w:r>
      <w:r>
        <w:rPr>
          <w:spacing w:val="-14"/>
        </w:rPr>
        <w:t> </w:t>
      </w:r>
      <w:r>
        <w:rPr/>
        <w:t>reported</w:t>
      </w:r>
      <w:r>
        <w:rPr>
          <w:spacing w:val="-14"/>
        </w:rPr>
        <w:t> </w:t>
      </w:r>
      <w:r>
        <w:rPr/>
        <w:t>on</w:t>
      </w:r>
      <w:r>
        <w:rPr>
          <w:spacing w:val="-14"/>
        </w:rPr>
        <w:t> </w:t>
      </w:r>
      <w:r>
        <w:rPr/>
        <w:t>all</w:t>
      </w:r>
      <w:r>
        <w:rPr>
          <w:spacing w:val="-14"/>
        </w:rPr>
        <w:t> </w:t>
      </w:r>
      <w:r>
        <w:rPr/>
        <w:t>Forms</w:t>
      </w:r>
      <w:r>
        <w:rPr>
          <w:spacing w:val="-14"/>
        </w:rPr>
        <w:t> </w:t>
      </w:r>
      <w:r>
        <w:rPr/>
        <w:t>1099 under section 1.671-5(f)(2) or (g)(2), as appropriate.</w:t>
      </w:r>
    </w:p>
    <w:p>
      <w:pPr>
        <w:pStyle w:val="BodyText"/>
        <w:spacing w:line="211" w:lineRule="auto" w:before="90"/>
      </w:pPr>
      <w:r>
        <w:rPr>
          <w:rFonts w:ascii="Arial Black"/>
          <w:spacing w:val="-2"/>
          <w:w w:val="90"/>
        </w:rPr>
        <w:t>Due</w:t>
      </w:r>
      <w:r>
        <w:rPr>
          <w:rFonts w:ascii="Arial Black"/>
          <w:spacing w:val="-7"/>
          <w:w w:val="90"/>
        </w:rPr>
        <w:t> </w:t>
      </w:r>
      <w:r>
        <w:rPr>
          <w:rFonts w:ascii="Arial Black"/>
          <w:spacing w:val="-2"/>
          <w:w w:val="90"/>
        </w:rPr>
        <w:t>date</w:t>
      </w:r>
      <w:r>
        <w:rPr>
          <w:rFonts w:ascii="Arial Black"/>
          <w:spacing w:val="-7"/>
          <w:w w:val="90"/>
        </w:rPr>
        <w:t> </w:t>
      </w:r>
      <w:r>
        <w:rPr>
          <w:rFonts w:ascii="Arial Black"/>
          <w:spacing w:val="-2"/>
          <w:w w:val="90"/>
        </w:rPr>
        <w:t>exception</w:t>
      </w:r>
      <w:r>
        <w:rPr>
          <w:rFonts w:ascii="Arial Black"/>
          <w:spacing w:val="-7"/>
          <w:w w:val="90"/>
        </w:rPr>
        <w:t> </w:t>
      </w:r>
      <w:r>
        <w:rPr>
          <w:rFonts w:ascii="Arial Black"/>
          <w:spacing w:val="-2"/>
          <w:w w:val="90"/>
        </w:rPr>
        <w:t>and</w:t>
      </w:r>
      <w:r>
        <w:rPr>
          <w:rFonts w:ascii="Arial Black"/>
          <w:spacing w:val="-7"/>
          <w:w w:val="90"/>
        </w:rPr>
        <w:t> </w:t>
      </w:r>
      <w:r>
        <w:rPr>
          <w:rFonts w:ascii="Arial Black"/>
          <w:spacing w:val="-2"/>
          <w:w w:val="90"/>
        </w:rPr>
        <w:t>other</w:t>
      </w:r>
      <w:r>
        <w:rPr>
          <w:rFonts w:ascii="Arial Black"/>
          <w:spacing w:val="-7"/>
          <w:w w:val="90"/>
        </w:rPr>
        <w:t> </w:t>
      </w:r>
      <w:r>
        <w:rPr>
          <w:rFonts w:ascii="Arial Black"/>
          <w:spacing w:val="-2"/>
          <w:w w:val="90"/>
        </w:rPr>
        <w:t>requirements</w:t>
      </w:r>
      <w:r>
        <w:rPr>
          <w:rFonts w:ascii="Arial Black"/>
          <w:spacing w:val="-7"/>
          <w:w w:val="90"/>
        </w:rPr>
        <w:t> </w:t>
      </w:r>
      <w:r>
        <w:rPr>
          <w:rFonts w:ascii="Arial Black"/>
          <w:spacing w:val="-2"/>
          <w:w w:val="90"/>
        </w:rPr>
        <w:t>for</w:t>
      </w:r>
      <w:r>
        <w:rPr>
          <w:rFonts w:ascii="Arial Black"/>
          <w:spacing w:val="-7"/>
          <w:w w:val="90"/>
        </w:rPr>
        <w:t> </w:t>
      </w:r>
      <w:r>
        <w:rPr>
          <w:rFonts w:ascii="Arial Black"/>
          <w:spacing w:val="-2"/>
          <w:w w:val="90"/>
        </w:rPr>
        <w:t>fur- </w:t>
      </w:r>
      <w:r>
        <w:rPr>
          <w:rFonts w:ascii="Arial Black"/>
          <w:w w:val="85"/>
        </w:rPr>
        <w:t>nishing the tax information statement to TIHs.</w:t>
      </w:r>
      <w:r>
        <w:rPr>
          <w:rFonts w:ascii="Arial Black"/>
          <w:spacing w:val="40"/>
        </w:rPr>
        <w:t> </w:t>
      </w:r>
      <w:r>
        <w:rPr>
          <w:w w:val="85"/>
        </w:rPr>
        <w:t>A tax </w:t>
      </w:r>
      <w:r>
        <w:rPr/>
        <w:t>information statement that includes the information provided to the IRS on all Forms 1099 filed for the</w:t>
      </w:r>
    </w:p>
    <w:p>
      <w:pPr>
        <w:pStyle w:val="BodyText"/>
        <w:spacing w:line="232" w:lineRule="auto" w:before="6"/>
      </w:pPr>
      <w:r>
        <w:rPr/>
        <w:t>calendar year with respect to the TIH's interest in the WHFIT, as well as additional information identified in Regulations</w:t>
      </w:r>
      <w:r>
        <w:rPr>
          <w:spacing w:val="-10"/>
        </w:rPr>
        <w:t> </w:t>
      </w:r>
      <w:r>
        <w:rPr/>
        <w:t>section</w:t>
      </w:r>
      <w:r>
        <w:rPr>
          <w:spacing w:val="-10"/>
        </w:rPr>
        <w:t> </w:t>
      </w:r>
      <w:r>
        <w:rPr/>
        <w:t>1.671-5(e),</w:t>
      </w:r>
      <w:r>
        <w:rPr>
          <w:spacing w:val="-10"/>
        </w:rPr>
        <w:t> </w:t>
      </w:r>
      <w:r>
        <w:rPr/>
        <w:t>must</w:t>
      </w:r>
      <w:r>
        <w:rPr>
          <w:spacing w:val="-10"/>
        </w:rPr>
        <w:t> </w:t>
      </w:r>
      <w:r>
        <w:rPr/>
        <w:t>be</w:t>
      </w:r>
      <w:r>
        <w:rPr>
          <w:spacing w:val="-10"/>
        </w:rPr>
        <w:t> </w:t>
      </w:r>
      <w:r>
        <w:rPr/>
        <w:t>provided</w:t>
      </w:r>
      <w:r>
        <w:rPr>
          <w:spacing w:val="-10"/>
        </w:rPr>
        <w:t> </w:t>
      </w:r>
      <w:r>
        <w:rPr/>
        <w:t>to</w:t>
      </w:r>
      <w:r>
        <w:rPr>
          <w:spacing w:val="-10"/>
        </w:rPr>
        <w:t> </w:t>
      </w:r>
      <w:r>
        <w:rPr/>
        <w:t>the TIHs.</w:t>
      </w:r>
      <w:r>
        <w:rPr>
          <w:spacing w:val="-13"/>
        </w:rPr>
        <w:t> </w:t>
      </w:r>
      <w:r>
        <w:rPr/>
        <w:t>The</w:t>
      </w:r>
      <w:r>
        <w:rPr>
          <w:spacing w:val="-13"/>
        </w:rPr>
        <w:t> </w:t>
      </w:r>
      <w:r>
        <w:rPr/>
        <w:t>written</w:t>
      </w:r>
      <w:r>
        <w:rPr>
          <w:spacing w:val="-13"/>
        </w:rPr>
        <w:t> </w:t>
      </w:r>
      <w:r>
        <w:rPr/>
        <w:t>tax</w:t>
      </w:r>
      <w:r>
        <w:rPr>
          <w:spacing w:val="-13"/>
        </w:rPr>
        <w:t> </w:t>
      </w:r>
      <w:r>
        <w:rPr/>
        <w:t>information</w:t>
      </w:r>
      <w:r>
        <w:rPr>
          <w:spacing w:val="-13"/>
        </w:rPr>
        <w:t> </w:t>
      </w:r>
      <w:r>
        <w:rPr/>
        <w:t>furnished</w:t>
      </w:r>
      <w:r>
        <w:rPr>
          <w:spacing w:val="-12"/>
        </w:rPr>
        <w:t> </w:t>
      </w:r>
      <w:r>
        <w:rPr/>
        <w:t>to</w:t>
      </w:r>
      <w:r>
        <w:rPr>
          <w:spacing w:val="-13"/>
        </w:rPr>
        <w:t> </w:t>
      </w:r>
      <w:r>
        <w:rPr/>
        <w:t>the</w:t>
      </w:r>
      <w:r>
        <w:rPr>
          <w:spacing w:val="-13"/>
        </w:rPr>
        <w:t> </w:t>
      </w:r>
      <w:r>
        <w:rPr/>
        <w:t>TIH</w:t>
      </w:r>
      <w:r>
        <w:rPr>
          <w:spacing w:val="-13"/>
        </w:rPr>
        <w:t> </w:t>
      </w:r>
      <w:r>
        <w:rPr>
          <w:spacing w:val="-5"/>
        </w:rPr>
        <w:t>for</w:t>
      </w:r>
    </w:p>
    <w:p>
      <w:pPr>
        <w:pStyle w:val="BodyText"/>
        <w:spacing w:after="0" w:line="232" w:lineRule="auto"/>
        <w:sectPr>
          <w:footerReference w:type="default" r:id="rId21"/>
          <w:footerReference w:type="even" r:id="rId22"/>
          <w:pgSz w:w="12240" w:h="15840"/>
          <w:pgMar w:header="0" w:footer="644" w:top="380" w:bottom="840" w:left="720" w:right="720"/>
          <w:pgNumType w:start="3"/>
          <w:cols w:num="2" w:equalWidth="0">
            <w:col w:w="5245" w:space="215"/>
            <w:col w:w="5340"/>
          </w:cols>
        </w:sectPr>
      </w:pPr>
    </w:p>
    <w:p>
      <w:pPr>
        <w:pStyle w:val="BodyText"/>
        <w:spacing w:line="232" w:lineRule="auto" w:before="138"/>
      </w:pPr>
      <w:r>
        <w:rPr/>
        <w:t>the</w:t>
      </w:r>
      <w:r>
        <w:rPr>
          <w:spacing w:val="-11"/>
        </w:rPr>
        <w:t> </w:t>
      </w:r>
      <w:r>
        <w:rPr/>
        <w:t>reporting</w:t>
      </w:r>
      <w:r>
        <w:rPr>
          <w:spacing w:val="-11"/>
        </w:rPr>
        <w:t> </w:t>
      </w:r>
      <w:r>
        <w:rPr/>
        <w:t>tax</w:t>
      </w:r>
      <w:r>
        <w:rPr>
          <w:spacing w:val="-11"/>
        </w:rPr>
        <w:t> </w:t>
      </w:r>
      <w:r>
        <w:rPr/>
        <w:t>year</w:t>
      </w:r>
      <w:r>
        <w:rPr>
          <w:spacing w:val="-11"/>
        </w:rPr>
        <w:t> </w:t>
      </w:r>
      <w:r>
        <w:rPr/>
        <w:t>is</w:t>
      </w:r>
      <w:r>
        <w:rPr>
          <w:spacing w:val="-11"/>
        </w:rPr>
        <w:t> </w:t>
      </w:r>
      <w:r>
        <w:rPr/>
        <w:t>due</w:t>
      </w:r>
      <w:r>
        <w:rPr>
          <w:spacing w:val="-11"/>
        </w:rPr>
        <w:t> </w:t>
      </w:r>
      <w:r>
        <w:rPr/>
        <w:t>on</w:t>
      </w:r>
      <w:r>
        <w:rPr>
          <w:spacing w:val="-11"/>
        </w:rPr>
        <w:t> </w:t>
      </w:r>
      <w:r>
        <w:rPr/>
        <w:t>or</w:t>
      </w:r>
      <w:r>
        <w:rPr>
          <w:spacing w:val="-11"/>
        </w:rPr>
        <w:t> </w:t>
      </w:r>
      <w:r>
        <w:rPr/>
        <w:t>before</w:t>
      </w:r>
      <w:r>
        <w:rPr>
          <w:spacing w:val="-11"/>
        </w:rPr>
        <w:t> </w:t>
      </w:r>
      <w:r>
        <w:rPr/>
        <w:t>March</w:t>
      </w:r>
      <w:r>
        <w:rPr>
          <w:spacing w:val="-11"/>
        </w:rPr>
        <w:t> </w:t>
      </w:r>
      <w:r>
        <w:rPr/>
        <w:t>15</w:t>
      </w:r>
      <w:r>
        <w:rPr>
          <w:spacing w:val="-11"/>
        </w:rPr>
        <w:t> </w:t>
      </w:r>
      <w:r>
        <w:rPr/>
        <w:t>of</w:t>
      </w:r>
      <w:r>
        <w:rPr>
          <w:spacing w:val="-11"/>
        </w:rPr>
        <w:t> </w:t>
      </w:r>
      <w:r>
        <w:rPr/>
        <w:t>the subsequent</w:t>
      </w:r>
      <w:r>
        <w:rPr>
          <w:spacing w:val="-14"/>
        </w:rPr>
        <w:t> </w:t>
      </w:r>
      <w:r>
        <w:rPr/>
        <w:t>year.</w:t>
      </w:r>
      <w:r>
        <w:rPr>
          <w:spacing w:val="-14"/>
        </w:rPr>
        <w:t> </w:t>
      </w:r>
      <w:r>
        <w:rPr/>
        <w:t>The</w:t>
      </w:r>
      <w:r>
        <w:rPr>
          <w:spacing w:val="-14"/>
        </w:rPr>
        <w:t> </w:t>
      </w:r>
      <w:r>
        <w:rPr/>
        <w:t>amount</w:t>
      </w:r>
      <w:r>
        <w:rPr>
          <w:spacing w:val="-14"/>
        </w:rPr>
        <w:t> </w:t>
      </w:r>
      <w:r>
        <w:rPr/>
        <w:t>of</w:t>
      </w:r>
      <w:r>
        <w:rPr>
          <w:spacing w:val="-14"/>
        </w:rPr>
        <w:t> </w:t>
      </w:r>
      <w:r>
        <w:rPr/>
        <w:t>an</w:t>
      </w:r>
      <w:r>
        <w:rPr>
          <w:spacing w:val="-14"/>
        </w:rPr>
        <w:t> </w:t>
      </w:r>
      <w:r>
        <w:rPr/>
        <w:t>item</w:t>
      </w:r>
      <w:r>
        <w:rPr>
          <w:spacing w:val="-14"/>
        </w:rPr>
        <w:t> </w:t>
      </w:r>
      <w:r>
        <w:rPr/>
        <w:t>of</w:t>
      </w:r>
      <w:r>
        <w:rPr>
          <w:spacing w:val="-14"/>
        </w:rPr>
        <w:t> </w:t>
      </w:r>
      <w:r>
        <w:rPr/>
        <w:t>trust</w:t>
      </w:r>
      <w:r>
        <w:rPr>
          <w:spacing w:val="-14"/>
        </w:rPr>
        <w:t> </w:t>
      </w:r>
      <w:r>
        <w:rPr/>
        <w:t>expense that is attributable to a TIH must be included on the tax information statement provided to the TIH and is not required to be included in </w:t>
      </w:r>
      <w:hyperlink w:history="true" w:anchor="_bookmark18">
        <w:r>
          <w:rPr>
            <w:color w:val="0056A2"/>
            <w:u w:val="single" w:color="0055A1"/>
          </w:rPr>
          <w:t>box 6</w:t>
        </w:r>
      </w:hyperlink>
      <w:r>
        <w:rPr>
          <w:color w:val="0056A2"/>
        </w:rPr>
        <w:t> </w:t>
      </w:r>
      <w:r>
        <w:rPr/>
        <w:t>on the Form 1099-DIV.</w:t>
      </w:r>
    </w:p>
    <w:p>
      <w:pPr>
        <w:pStyle w:val="BodyText"/>
        <w:spacing w:line="232" w:lineRule="auto" w:before="65"/>
        <w:ind w:right="261" w:firstLine="240"/>
      </w:pPr>
      <w:r>
        <w:rPr/>
        <w:t>For</w:t>
      </w:r>
      <w:r>
        <w:rPr>
          <w:spacing w:val="-14"/>
        </w:rPr>
        <w:t> </w:t>
      </w:r>
      <w:r>
        <w:rPr/>
        <w:t>more</w:t>
      </w:r>
      <w:r>
        <w:rPr>
          <w:spacing w:val="-14"/>
        </w:rPr>
        <w:t> </w:t>
      </w:r>
      <w:r>
        <w:rPr/>
        <w:t>filing</w:t>
      </w:r>
      <w:r>
        <w:rPr>
          <w:spacing w:val="-14"/>
        </w:rPr>
        <w:t> </w:t>
      </w:r>
      <w:r>
        <w:rPr/>
        <w:t>requirements,</w:t>
      </w:r>
      <w:r>
        <w:rPr>
          <w:spacing w:val="-14"/>
        </w:rPr>
        <w:t> </w:t>
      </w:r>
      <w:r>
        <w:rPr/>
        <w:t>see</w:t>
      </w:r>
      <w:r>
        <w:rPr>
          <w:spacing w:val="-14"/>
        </w:rPr>
        <w:t> </w:t>
      </w:r>
      <w:r>
        <w:rPr/>
        <w:t>the</w:t>
      </w:r>
      <w:r>
        <w:rPr>
          <w:spacing w:val="-14"/>
        </w:rPr>
        <w:t> </w:t>
      </w:r>
      <w:r>
        <w:rPr/>
        <w:t>current</w:t>
      </w:r>
      <w:r>
        <w:rPr>
          <w:spacing w:val="-14"/>
        </w:rPr>
        <w:t> </w:t>
      </w:r>
      <w:r>
        <w:rPr/>
        <w:t>General Instructions for Certain Information Returns.</w:t>
      </w:r>
    </w:p>
    <w:p>
      <w:pPr>
        <w:pStyle w:val="Heading2"/>
        <w:spacing w:before="124"/>
      </w:pPr>
      <w:bookmarkStart w:name="Statements to Recipients" w:id="19"/>
      <w:bookmarkEnd w:id="19"/>
      <w:r>
        <w:rPr/>
      </w:r>
      <w:bookmarkStart w:name="Box 1b. Qualified Dividends" w:id="20"/>
      <w:bookmarkEnd w:id="20"/>
      <w:r>
        <w:rPr/>
      </w:r>
      <w:bookmarkStart w:name="_bookmark7" w:id="21"/>
      <w:bookmarkEnd w:id="21"/>
      <w:r>
        <w:rPr/>
      </w:r>
      <w:r>
        <w:rPr>
          <w:w w:val="85"/>
        </w:rPr>
        <w:t>Statements</w:t>
      </w:r>
      <w:r>
        <w:rPr>
          <w:spacing w:val="-9"/>
        </w:rPr>
        <w:t> </w:t>
      </w:r>
      <w:r>
        <w:rPr>
          <w:w w:val="85"/>
        </w:rPr>
        <w:t>to</w:t>
      </w:r>
      <w:r>
        <w:rPr>
          <w:spacing w:val="-9"/>
        </w:rPr>
        <w:t> </w:t>
      </w:r>
      <w:r>
        <w:rPr>
          <w:spacing w:val="-2"/>
          <w:w w:val="85"/>
        </w:rPr>
        <w:t>Recipients</w:t>
      </w:r>
    </w:p>
    <w:p>
      <w:pPr>
        <w:pStyle w:val="BodyText"/>
        <w:spacing w:line="232" w:lineRule="auto" w:before="27"/>
        <w:ind w:left="119"/>
      </w:pPr>
      <w:r>
        <w:rPr/>
        <w:t>If</w:t>
      </w:r>
      <w:r>
        <w:rPr>
          <w:spacing w:val="-14"/>
        </w:rPr>
        <w:t> </w:t>
      </w:r>
      <w:r>
        <w:rPr/>
        <w:t>you</w:t>
      </w:r>
      <w:r>
        <w:rPr>
          <w:spacing w:val="-14"/>
        </w:rPr>
        <w:t> </w:t>
      </w:r>
      <w:r>
        <w:rPr/>
        <w:t>are</w:t>
      </w:r>
      <w:r>
        <w:rPr>
          <w:spacing w:val="-14"/>
        </w:rPr>
        <w:t> </w:t>
      </w:r>
      <w:r>
        <w:rPr/>
        <w:t>required</w:t>
      </w:r>
      <w:r>
        <w:rPr>
          <w:spacing w:val="-14"/>
        </w:rPr>
        <w:t> </w:t>
      </w:r>
      <w:r>
        <w:rPr/>
        <w:t>to</w:t>
      </w:r>
      <w:r>
        <w:rPr>
          <w:spacing w:val="-14"/>
        </w:rPr>
        <w:t> </w:t>
      </w:r>
      <w:r>
        <w:rPr/>
        <w:t>file</w:t>
      </w:r>
      <w:r>
        <w:rPr>
          <w:spacing w:val="-14"/>
        </w:rPr>
        <w:t> </w:t>
      </w:r>
      <w:r>
        <w:rPr/>
        <w:t>Form</w:t>
      </w:r>
      <w:r>
        <w:rPr>
          <w:spacing w:val="-14"/>
        </w:rPr>
        <w:t> </w:t>
      </w:r>
      <w:r>
        <w:rPr/>
        <w:t>1099-DIV,</w:t>
      </w:r>
      <w:r>
        <w:rPr>
          <w:spacing w:val="-14"/>
        </w:rPr>
        <w:t> </w:t>
      </w:r>
      <w:r>
        <w:rPr/>
        <w:t>you</w:t>
      </w:r>
      <w:r>
        <w:rPr>
          <w:spacing w:val="-14"/>
        </w:rPr>
        <w:t> </w:t>
      </w:r>
      <w:r>
        <w:rPr/>
        <w:t>must</w:t>
      </w:r>
      <w:r>
        <w:rPr>
          <w:spacing w:val="-13"/>
        </w:rPr>
        <w:t> </w:t>
      </w:r>
      <w:r>
        <w:rPr/>
        <w:t>provide a statement to the recipient. For information about the requirement</w:t>
      </w:r>
      <w:r>
        <w:rPr>
          <w:spacing w:val="-14"/>
        </w:rPr>
        <w:t> </w:t>
      </w:r>
      <w:r>
        <w:rPr/>
        <w:t>to</w:t>
      </w:r>
      <w:r>
        <w:rPr>
          <w:spacing w:val="-14"/>
        </w:rPr>
        <w:t> </w:t>
      </w:r>
      <w:r>
        <w:rPr/>
        <w:t>furnish</w:t>
      </w:r>
      <w:r>
        <w:rPr>
          <w:spacing w:val="-14"/>
        </w:rPr>
        <w:t> </w:t>
      </w:r>
      <w:r>
        <w:rPr/>
        <w:t>statements</w:t>
      </w:r>
      <w:r>
        <w:rPr>
          <w:spacing w:val="-14"/>
        </w:rPr>
        <w:t> </w:t>
      </w:r>
      <w:r>
        <w:rPr/>
        <w:t>to</w:t>
      </w:r>
      <w:r>
        <w:rPr>
          <w:spacing w:val="-14"/>
        </w:rPr>
        <w:t> </w:t>
      </w:r>
      <w:r>
        <w:rPr/>
        <w:t>recipients,</w:t>
      </w:r>
      <w:r>
        <w:rPr>
          <w:spacing w:val="-14"/>
        </w:rPr>
        <w:t> </w:t>
      </w:r>
      <w:r>
        <w:rPr/>
        <w:t>see</w:t>
      </w:r>
      <w:r>
        <w:rPr>
          <w:spacing w:val="-13"/>
        </w:rPr>
        <w:t> </w:t>
      </w:r>
      <w:r>
        <w:rPr/>
        <w:t>part</w:t>
      </w:r>
      <w:r>
        <w:rPr>
          <w:spacing w:val="-14"/>
        </w:rPr>
        <w:t> </w:t>
      </w:r>
      <w:r>
        <w:rPr/>
        <w:t>M in the current General Instructions for Certain Information </w:t>
      </w:r>
      <w:r>
        <w:rPr>
          <w:spacing w:val="-2"/>
        </w:rPr>
        <w:t>Returns.</w:t>
      </w:r>
    </w:p>
    <w:p>
      <w:pPr>
        <w:pStyle w:val="BodyText"/>
        <w:spacing w:line="230" w:lineRule="auto" w:before="75"/>
      </w:pPr>
      <w:r>
        <w:rPr>
          <w:rFonts w:ascii="Arial Black" w:hAnsi="Arial Black"/>
          <w:spacing w:val="-2"/>
          <w:w w:val="90"/>
        </w:rPr>
        <w:t>Truncating recipient’s TIN on payee statements. </w:t>
      </w:r>
      <w:r>
        <w:rPr/>
        <w:t>Pursuant to Regulations section 301.6109-4, all filers of this form may truncate a recipient’s TIN (social security number</w:t>
      </w:r>
      <w:r>
        <w:rPr>
          <w:spacing w:val="-5"/>
        </w:rPr>
        <w:t> </w:t>
      </w:r>
      <w:r>
        <w:rPr/>
        <w:t>(SSN),</w:t>
      </w:r>
      <w:r>
        <w:rPr>
          <w:spacing w:val="-5"/>
        </w:rPr>
        <w:t> </w:t>
      </w:r>
      <w:r>
        <w:rPr/>
        <w:t>individual</w:t>
      </w:r>
      <w:r>
        <w:rPr>
          <w:spacing w:val="-5"/>
        </w:rPr>
        <w:t> </w:t>
      </w:r>
      <w:r>
        <w:rPr/>
        <w:t>taxpayer</w:t>
      </w:r>
      <w:r>
        <w:rPr>
          <w:spacing w:val="-5"/>
        </w:rPr>
        <w:t> </w:t>
      </w:r>
      <w:r>
        <w:rPr/>
        <w:t>identification</w:t>
      </w:r>
      <w:r>
        <w:rPr>
          <w:spacing w:val="-5"/>
        </w:rPr>
        <w:t> </w:t>
      </w:r>
      <w:r>
        <w:rPr/>
        <w:t>number </w:t>
      </w:r>
      <w:r>
        <w:rPr>
          <w:spacing w:val="-2"/>
        </w:rPr>
        <w:t>(ITIN),</w:t>
      </w:r>
      <w:r>
        <w:rPr>
          <w:spacing w:val="-3"/>
        </w:rPr>
        <w:t> </w:t>
      </w:r>
      <w:r>
        <w:rPr>
          <w:spacing w:val="-2"/>
        </w:rPr>
        <w:t>adoption</w:t>
      </w:r>
      <w:r>
        <w:rPr>
          <w:spacing w:val="-3"/>
        </w:rPr>
        <w:t> </w:t>
      </w:r>
      <w:r>
        <w:rPr>
          <w:spacing w:val="-2"/>
        </w:rPr>
        <w:t>taxpayer</w:t>
      </w:r>
      <w:r>
        <w:rPr>
          <w:spacing w:val="-3"/>
        </w:rPr>
        <w:t> </w:t>
      </w:r>
      <w:r>
        <w:rPr>
          <w:spacing w:val="-2"/>
        </w:rPr>
        <w:t>identification</w:t>
      </w:r>
      <w:r>
        <w:rPr>
          <w:spacing w:val="-3"/>
        </w:rPr>
        <w:t> </w:t>
      </w:r>
      <w:r>
        <w:rPr>
          <w:spacing w:val="-2"/>
        </w:rPr>
        <w:t>number</w:t>
      </w:r>
      <w:r>
        <w:rPr>
          <w:spacing w:val="-3"/>
        </w:rPr>
        <w:t> </w:t>
      </w:r>
      <w:r>
        <w:rPr>
          <w:spacing w:val="-2"/>
        </w:rPr>
        <w:t>(ATIN),</w:t>
      </w:r>
      <w:r>
        <w:rPr>
          <w:spacing w:val="-3"/>
        </w:rPr>
        <w:t> </w:t>
      </w:r>
      <w:r>
        <w:rPr>
          <w:spacing w:val="-2"/>
        </w:rPr>
        <w:t>or </w:t>
      </w:r>
      <w:r>
        <w:rPr/>
        <w:t>employer identification number (EIN)) on payee statements.</w:t>
      </w:r>
      <w:r>
        <w:rPr>
          <w:spacing w:val="-10"/>
        </w:rPr>
        <w:t> </w:t>
      </w:r>
      <w:r>
        <w:rPr/>
        <w:t>Truncation</w:t>
      </w:r>
      <w:r>
        <w:rPr>
          <w:spacing w:val="-10"/>
        </w:rPr>
        <w:t> </w:t>
      </w:r>
      <w:r>
        <w:rPr/>
        <w:t>is</w:t>
      </w:r>
      <w:r>
        <w:rPr>
          <w:spacing w:val="-10"/>
        </w:rPr>
        <w:t> </w:t>
      </w:r>
      <w:r>
        <w:rPr/>
        <w:t>not</w:t>
      </w:r>
      <w:r>
        <w:rPr>
          <w:spacing w:val="-10"/>
        </w:rPr>
        <w:t> </w:t>
      </w:r>
      <w:r>
        <w:rPr/>
        <w:t>allowed</w:t>
      </w:r>
      <w:r>
        <w:rPr>
          <w:spacing w:val="-10"/>
        </w:rPr>
        <w:t> </w:t>
      </w:r>
      <w:r>
        <w:rPr/>
        <w:t>on</w:t>
      </w:r>
      <w:r>
        <w:rPr>
          <w:spacing w:val="-10"/>
        </w:rPr>
        <w:t> </w:t>
      </w:r>
      <w:r>
        <w:rPr/>
        <w:t>any</w:t>
      </w:r>
      <w:r>
        <w:rPr>
          <w:spacing w:val="-10"/>
        </w:rPr>
        <w:t> </w:t>
      </w:r>
      <w:r>
        <w:rPr/>
        <w:t>documents the filer files with the IRS. A payer's TIN may not be truncated</w:t>
      </w:r>
      <w:r>
        <w:rPr>
          <w:spacing w:val="-4"/>
        </w:rPr>
        <w:t> </w:t>
      </w:r>
      <w:r>
        <w:rPr/>
        <w:t>on</w:t>
      </w:r>
      <w:r>
        <w:rPr>
          <w:spacing w:val="-4"/>
        </w:rPr>
        <w:t> </w:t>
      </w:r>
      <w:r>
        <w:rPr/>
        <w:t>any</w:t>
      </w:r>
      <w:r>
        <w:rPr>
          <w:spacing w:val="-4"/>
        </w:rPr>
        <w:t> </w:t>
      </w:r>
      <w:r>
        <w:rPr/>
        <w:t>form.</w:t>
      </w:r>
      <w:r>
        <w:rPr>
          <w:spacing w:val="-4"/>
        </w:rPr>
        <w:t> </w:t>
      </w:r>
      <w:r>
        <w:rPr/>
        <w:t>See</w:t>
      </w:r>
      <w:r>
        <w:rPr>
          <w:spacing w:val="-4"/>
        </w:rPr>
        <w:t> </w:t>
      </w:r>
      <w:r>
        <w:rPr/>
        <w:t>part</w:t>
      </w:r>
      <w:r>
        <w:rPr>
          <w:spacing w:val="-4"/>
        </w:rPr>
        <w:t> </w:t>
      </w:r>
      <w:r>
        <w:rPr/>
        <w:t>J</w:t>
      </w:r>
      <w:r>
        <w:rPr>
          <w:spacing w:val="-4"/>
        </w:rPr>
        <w:t> </w:t>
      </w:r>
      <w:r>
        <w:rPr/>
        <w:t>in</w:t>
      </w:r>
      <w:r>
        <w:rPr>
          <w:spacing w:val="-4"/>
        </w:rPr>
        <w:t> </w:t>
      </w:r>
      <w:r>
        <w:rPr/>
        <w:t>the</w:t>
      </w:r>
      <w:r>
        <w:rPr>
          <w:spacing w:val="-4"/>
        </w:rPr>
        <w:t> </w:t>
      </w:r>
      <w:r>
        <w:rPr/>
        <w:t>current</w:t>
      </w:r>
      <w:r>
        <w:rPr>
          <w:spacing w:val="-4"/>
        </w:rPr>
        <w:t> </w:t>
      </w:r>
      <w:r>
        <w:rPr/>
        <w:t>General Instructions for Certain Information Returns.</w:t>
      </w:r>
    </w:p>
    <w:p>
      <w:pPr>
        <w:pStyle w:val="Heading2"/>
        <w:spacing w:before="135"/>
      </w:pPr>
      <w:bookmarkStart w:name="2nd TIN Not." w:id="22"/>
      <w:bookmarkEnd w:id="22"/>
      <w:r>
        <w:rPr/>
      </w:r>
      <w:r>
        <w:rPr>
          <w:w w:val="85"/>
        </w:rPr>
        <w:t>2nd</w:t>
      </w:r>
      <w:r>
        <w:rPr>
          <w:spacing w:val="-8"/>
        </w:rPr>
        <w:t> </w:t>
      </w:r>
      <w:r>
        <w:rPr>
          <w:w w:val="85"/>
        </w:rPr>
        <w:t>TIN</w:t>
      </w:r>
      <w:r>
        <w:rPr>
          <w:spacing w:val="-7"/>
        </w:rPr>
        <w:t> </w:t>
      </w:r>
      <w:r>
        <w:rPr>
          <w:spacing w:val="-4"/>
          <w:w w:val="85"/>
        </w:rPr>
        <w:t>Not.</w:t>
      </w:r>
    </w:p>
    <w:p>
      <w:pPr>
        <w:pStyle w:val="BodyText"/>
        <w:spacing w:line="232" w:lineRule="auto" w:before="27"/>
        <w:ind w:left="119"/>
      </w:pPr>
      <w:r>
        <w:rPr/>
        <w:t>You</w:t>
      </w:r>
      <w:r>
        <w:rPr>
          <w:spacing w:val="-10"/>
        </w:rPr>
        <w:t> </w:t>
      </w:r>
      <w:r>
        <w:rPr/>
        <w:t>may</w:t>
      </w:r>
      <w:r>
        <w:rPr>
          <w:spacing w:val="-10"/>
        </w:rPr>
        <w:t> </w:t>
      </w:r>
      <w:r>
        <w:rPr/>
        <w:t>enter</w:t>
      </w:r>
      <w:r>
        <w:rPr>
          <w:spacing w:val="-10"/>
        </w:rPr>
        <w:t> </w:t>
      </w:r>
      <w:r>
        <w:rPr/>
        <w:t>an</w:t>
      </w:r>
      <w:r>
        <w:rPr>
          <w:spacing w:val="-10"/>
        </w:rPr>
        <w:t> </w:t>
      </w:r>
      <w:r>
        <w:rPr/>
        <w:t>“X”</w:t>
      </w:r>
      <w:r>
        <w:rPr>
          <w:spacing w:val="-10"/>
        </w:rPr>
        <w:t> </w:t>
      </w:r>
      <w:r>
        <w:rPr/>
        <w:t>in</w:t>
      </w:r>
      <w:r>
        <w:rPr>
          <w:spacing w:val="-10"/>
        </w:rPr>
        <w:t> </w:t>
      </w:r>
      <w:r>
        <w:rPr/>
        <w:t>this</w:t>
      </w:r>
      <w:r>
        <w:rPr>
          <w:spacing w:val="-10"/>
        </w:rPr>
        <w:t> </w:t>
      </w:r>
      <w:r>
        <w:rPr/>
        <w:t>box</w:t>
      </w:r>
      <w:r>
        <w:rPr>
          <w:spacing w:val="-10"/>
        </w:rPr>
        <w:t> </w:t>
      </w:r>
      <w:r>
        <w:rPr/>
        <w:t>if</w:t>
      </w:r>
      <w:r>
        <w:rPr>
          <w:spacing w:val="-10"/>
        </w:rPr>
        <w:t> </w:t>
      </w:r>
      <w:r>
        <w:rPr/>
        <w:t>you</w:t>
      </w:r>
      <w:r>
        <w:rPr>
          <w:spacing w:val="-10"/>
        </w:rPr>
        <w:t> </w:t>
      </w:r>
      <w:r>
        <w:rPr/>
        <w:t>were</w:t>
      </w:r>
      <w:r>
        <w:rPr>
          <w:spacing w:val="-10"/>
        </w:rPr>
        <w:t> </w:t>
      </w:r>
      <w:r>
        <w:rPr/>
        <w:t>notified</w:t>
      </w:r>
      <w:r>
        <w:rPr>
          <w:spacing w:val="-10"/>
        </w:rPr>
        <w:t> </w:t>
      </w:r>
      <w:r>
        <w:rPr/>
        <w:t>by</w:t>
      </w:r>
      <w:r>
        <w:rPr>
          <w:spacing w:val="-10"/>
        </w:rPr>
        <w:t> </w:t>
      </w:r>
      <w:r>
        <w:rPr/>
        <w:t>the IRS</w:t>
      </w:r>
      <w:r>
        <w:rPr>
          <w:spacing w:val="-5"/>
        </w:rPr>
        <w:t> </w:t>
      </w:r>
      <w:r>
        <w:rPr/>
        <w:t>twice</w:t>
      </w:r>
      <w:r>
        <w:rPr>
          <w:spacing w:val="-5"/>
        </w:rPr>
        <w:t> </w:t>
      </w:r>
      <w:r>
        <w:rPr/>
        <w:t>within</w:t>
      </w:r>
      <w:r>
        <w:rPr>
          <w:spacing w:val="-5"/>
        </w:rPr>
        <w:t> </w:t>
      </w:r>
      <w:r>
        <w:rPr/>
        <w:t>3</w:t>
      </w:r>
      <w:r>
        <w:rPr>
          <w:spacing w:val="-5"/>
        </w:rPr>
        <w:t> </w:t>
      </w:r>
      <w:r>
        <w:rPr/>
        <w:t>calendar</w:t>
      </w:r>
      <w:r>
        <w:rPr>
          <w:spacing w:val="-5"/>
        </w:rPr>
        <w:t> </w:t>
      </w:r>
      <w:r>
        <w:rPr/>
        <w:t>years</w:t>
      </w:r>
      <w:r>
        <w:rPr>
          <w:spacing w:val="-5"/>
        </w:rPr>
        <w:t> </w:t>
      </w:r>
      <w:r>
        <w:rPr/>
        <w:t>that</w:t>
      </w:r>
      <w:r>
        <w:rPr>
          <w:spacing w:val="-5"/>
        </w:rPr>
        <w:t> </w:t>
      </w:r>
      <w:r>
        <w:rPr/>
        <w:t>the</w:t>
      </w:r>
      <w:r>
        <w:rPr>
          <w:spacing w:val="-5"/>
        </w:rPr>
        <w:t> </w:t>
      </w:r>
      <w:r>
        <w:rPr/>
        <w:t>payee</w:t>
      </w:r>
      <w:r>
        <w:rPr>
          <w:spacing w:val="-5"/>
        </w:rPr>
        <w:t> </w:t>
      </w:r>
      <w:r>
        <w:rPr/>
        <w:t>provided </w:t>
      </w:r>
      <w:bookmarkStart w:name="Box 2a. Total Capital Gain Distr." w:id="23"/>
      <w:bookmarkEnd w:id="23"/>
      <w:r>
        <w:rPr/>
      </w:r>
      <w:bookmarkStart w:name="_bookmark8" w:id="24"/>
      <w:bookmarkEnd w:id="24"/>
      <w:r>
        <w:rPr/>
        <w:t>an</w:t>
      </w:r>
      <w:r>
        <w:rPr>
          <w:spacing w:val="-13"/>
        </w:rPr>
        <w:t> </w:t>
      </w:r>
      <w:r>
        <w:rPr/>
        <w:t>incorrect</w:t>
      </w:r>
      <w:r>
        <w:rPr>
          <w:spacing w:val="-13"/>
        </w:rPr>
        <w:t> </w:t>
      </w:r>
      <w:r>
        <w:rPr/>
        <w:t>TIN.</w:t>
      </w:r>
      <w:r>
        <w:rPr>
          <w:spacing w:val="-13"/>
        </w:rPr>
        <w:t> </w:t>
      </w:r>
      <w:r>
        <w:rPr/>
        <w:t>If</w:t>
      </w:r>
      <w:r>
        <w:rPr>
          <w:spacing w:val="-13"/>
        </w:rPr>
        <w:t> </w:t>
      </w:r>
      <w:r>
        <w:rPr/>
        <w:t>you</w:t>
      </w:r>
      <w:r>
        <w:rPr>
          <w:spacing w:val="-13"/>
        </w:rPr>
        <w:t> </w:t>
      </w:r>
      <w:r>
        <w:rPr/>
        <w:t>mark</w:t>
      </w:r>
      <w:r>
        <w:rPr>
          <w:spacing w:val="-13"/>
        </w:rPr>
        <w:t> </w:t>
      </w:r>
      <w:r>
        <w:rPr/>
        <w:t>this</w:t>
      </w:r>
      <w:r>
        <w:rPr>
          <w:spacing w:val="-13"/>
        </w:rPr>
        <w:t> </w:t>
      </w:r>
      <w:r>
        <w:rPr/>
        <w:t>box,</w:t>
      </w:r>
      <w:r>
        <w:rPr>
          <w:spacing w:val="-13"/>
        </w:rPr>
        <w:t> </w:t>
      </w:r>
      <w:r>
        <w:rPr/>
        <w:t>the</w:t>
      </w:r>
      <w:r>
        <w:rPr>
          <w:spacing w:val="-13"/>
        </w:rPr>
        <w:t> </w:t>
      </w:r>
      <w:r>
        <w:rPr/>
        <w:t>IRS</w:t>
      </w:r>
      <w:r>
        <w:rPr>
          <w:spacing w:val="-13"/>
        </w:rPr>
        <w:t> </w:t>
      </w:r>
      <w:r>
        <w:rPr/>
        <w:t>will</w:t>
      </w:r>
      <w:r>
        <w:rPr>
          <w:spacing w:val="-13"/>
        </w:rPr>
        <w:t> </w:t>
      </w:r>
      <w:r>
        <w:rPr/>
        <w:t>not</w:t>
      </w:r>
      <w:r>
        <w:rPr>
          <w:spacing w:val="-13"/>
        </w:rPr>
        <w:t> </w:t>
      </w:r>
      <w:r>
        <w:rPr/>
        <w:t>send you any further notices about this account.</w:t>
      </w:r>
    </w:p>
    <w:p>
      <w:pPr>
        <w:pStyle w:val="BodyText"/>
        <w:spacing w:line="232" w:lineRule="auto" w:before="123"/>
        <w:ind w:left="119" w:firstLine="240"/>
      </w:pPr>
      <w:r>
        <w:rPr/>
        <w:t>However,</w:t>
      </w:r>
      <w:r>
        <w:rPr>
          <w:spacing w:val="-11"/>
        </w:rPr>
        <w:t> </w:t>
      </w:r>
      <w:r>
        <w:rPr/>
        <w:t>if</w:t>
      </w:r>
      <w:r>
        <w:rPr>
          <w:spacing w:val="-11"/>
        </w:rPr>
        <w:t> </w:t>
      </w:r>
      <w:r>
        <w:rPr/>
        <w:t>you</w:t>
      </w:r>
      <w:r>
        <w:rPr>
          <w:spacing w:val="-11"/>
        </w:rPr>
        <w:t> </w:t>
      </w:r>
      <w:r>
        <w:rPr/>
        <w:t>received</w:t>
      </w:r>
      <w:r>
        <w:rPr>
          <w:spacing w:val="-11"/>
        </w:rPr>
        <w:t> </w:t>
      </w:r>
      <w:r>
        <w:rPr/>
        <w:t>both</w:t>
      </w:r>
      <w:r>
        <w:rPr>
          <w:spacing w:val="-11"/>
        </w:rPr>
        <w:t> </w:t>
      </w:r>
      <w:r>
        <w:rPr/>
        <w:t>IRS</w:t>
      </w:r>
      <w:r>
        <w:rPr>
          <w:spacing w:val="-11"/>
        </w:rPr>
        <w:t> </w:t>
      </w:r>
      <w:r>
        <w:rPr/>
        <w:t>notices</w:t>
      </w:r>
      <w:r>
        <w:rPr>
          <w:spacing w:val="-11"/>
        </w:rPr>
        <w:t> </w:t>
      </w:r>
      <w:r>
        <w:rPr/>
        <w:t>in</w:t>
      </w:r>
      <w:r>
        <w:rPr>
          <w:spacing w:val="-11"/>
        </w:rPr>
        <w:t> </w:t>
      </w:r>
      <w:r>
        <w:rPr/>
        <w:t>the</w:t>
      </w:r>
      <w:r>
        <w:rPr>
          <w:spacing w:val="-11"/>
        </w:rPr>
        <w:t> </w:t>
      </w:r>
      <w:r>
        <w:rPr/>
        <w:t>same year, or if you received them in different years but they both</w:t>
      </w:r>
      <w:r>
        <w:rPr>
          <w:spacing w:val="-14"/>
        </w:rPr>
        <w:t> </w:t>
      </w:r>
      <w:r>
        <w:rPr/>
        <w:t>related</w:t>
      </w:r>
      <w:r>
        <w:rPr>
          <w:spacing w:val="-14"/>
        </w:rPr>
        <w:t> </w:t>
      </w:r>
      <w:r>
        <w:rPr/>
        <w:t>to</w:t>
      </w:r>
      <w:r>
        <w:rPr>
          <w:spacing w:val="-14"/>
        </w:rPr>
        <w:t> </w:t>
      </w:r>
      <w:r>
        <w:rPr/>
        <w:t>information</w:t>
      </w:r>
      <w:r>
        <w:rPr>
          <w:spacing w:val="-14"/>
        </w:rPr>
        <w:t> </w:t>
      </w:r>
      <w:r>
        <w:rPr/>
        <w:t>returns</w:t>
      </w:r>
      <w:r>
        <w:rPr>
          <w:spacing w:val="-14"/>
        </w:rPr>
        <w:t> </w:t>
      </w:r>
      <w:r>
        <w:rPr/>
        <w:t>filed</w:t>
      </w:r>
      <w:r>
        <w:rPr>
          <w:spacing w:val="-14"/>
        </w:rPr>
        <w:t> </w:t>
      </w:r>
      <w:r>
        <w:rPr/>
        <w:t>for</w:t>
      </w:r>
      <w:r>
        <w:rPr>
          <w:spacing w:val="-14"/>
        </w:rPr>
        <w:t> </w:t>
      </w:r>
      <w:r>
        <w:rPr/>
        <w:t>the</w:t>
      </w:r>
      <w:r>
        <w:rPr>
          <w:spacing w:val="-14"/>
        </w:rPr>
        <w:t> </w:t>
      </w:r>
      <w:r>
        <w:rPr/>
        <w:t>same</w:t>
      </w:r>
      <w:r>
        <w:rPr>
          <w:spacing w:val="-14"/>
        </w:rPr>
        <w:t> </w:t>
      </w:r>
      <w:r>
        <w:rPr/>
        <w:t>year, do not check the box at this time. For purposes of the</w:t>
      </w:r>
    </w:p>
    <w:p>
      <w:pPr>
        <w:pStyle w:val="BodyText"/>
        <w:spacing w:line="232" w:lineRule="auto" w:before="4"/>
        <w:ind w:left="119"/>
      </w:pPr>
      <w:r>
        <w:rPr/>
        <w:t>two-notices-in-3-years rule, you are considered to have </w:t>
      </w:r>
      <w:bookmarkStart w:name="Box 2b. Unrecap. Sec. 1250 Gain" w:id="25"/>
      <w:bookmarkEnd w:id="25"/>
      <w:r>
        <w:rPr>
          <w:w w:val="99"/>
        </w:rPr>
      </w:r>
      <w:bookmarkStart w:name="_bookmark9" w:id="26"/>
      <w:bookmarkEnd w:id="26"/>
      <w:r>
        <w:rPr/>
        <w:t>r</w:t>
      </w:r>
      <w:r>
        <w:rPr/>
        <w:t>eceived one notice and you are not required to send a second</w:t>
      </w:r>
      <w:r>
        <w:rPr>
          <w:spacing w:val="-11"/>
        </w:rPr>
        <w:t> </w:t>
      </w:r>
      <w:r>
        <w:rPr/>
        <w:t>“B”</w:t>
      </w:r>
      <w:r>
        <w:rPr>
          <w:spacing w:val="-11"/>
        </w:rPr>
        <w:t> </w:t>
      </w:r>
      <w:r>
        <w:rPr/>
        <w:t>notice</w:t>
      </w:r>
      <w:r>
        <w:rPr>
          <w:spacing w:val="-11"/>
        </w:rPr>
        <w:t> </w:t>
      </w:r>
      <w:r>
        <w:rPr/>
        <w:t>to</w:t>
      </w:r>
      <w:r>
        <w:rPr>
          <w:spacing w:val="-11"/>
        </w:rPr>
        <w:t> </w:t>
      </w:r>
      <w:r>
        <w:rPr/>
        <w:t>the</w:t>
      </w:r>
      <w:r>
        <w:rPr>
          <w:spacing w:val="-11"/>
        </w:rPr>
        <w:t> </w:t>
      </w:r>
      <w:r>
        <w:rPr/>
        <w:t>taxpayer</w:t>
      </w:r>
      <w:r>
        <w:rPr>
          <w:spacing w:val="-11"/>
        </w:rPr>
        <w:t> </w:t>
      </w:r>
      <w:r>
        <w:rPr/>
        <w:t>on</w:t>
      </w:r>
      <w:r>
        <w:rPr>
          <w:spacing w:val="-11"/>
        </w:rPr>
        <w:t> </w:t>
      </w:r>
      <w:r>
        <w:rPr/>
        <w:t>receipt</w:t>
      </w:r>
      <w:r>
        <w:rPr>
          <w:spacing w:val="-11"/>
        </w:rPr>
        <w:t> </w:t>
      </w:r>
      <w:r>
        <w:rPr/>
        <w:t>of</w:t>
      </w:r>
      <w:r>
        <w:rPr>
          <w:spacing w:val="-11"/>
        </w:rPr>
        <w:t> </w:t>
      </w:r>
      <w:r>
        <w:rPr/>
        <w:t>the</w:t>
      </w:r>
      <w:r>
        <w:rPr>
          <w:spacing w:val="-11"/>
        </w:rPr>
        <w:t> </w:t>
      </w:r>
      <w:r>
        <w:rPr/>
        <w:t>second notice. See part N in the current General Instructions for Certain Information Returns for more information.</w:t>
      </w:r>
    </w:p>
    <w:p>
      <w:pPr>
        <w:spacing w:line="232" w:lineRule="auto" w:before="105"/>
        <w:ind w:left="815"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2736">
                <wp:simplePos x="0" y="0"/>
                <wp:positionH relativeFrom="page">
                  <wp:posOffset>533400</wp:posOffset>
                </wp:positionH>
                <wp:positionV relativeFrom="paragraph">
                  <wp:posOffset>88092</wp:posOffset>
                </wp:positionV>
                <wp:extent cx="387350" cy="38735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387350" cy="387350"/>
                          <a:chExt cx="387350" cy="387350"/>
                        </a:xfrm>
                      </wpg:grpSpPr>
                      <wps:wsp>
                        <wps:cNvPr id="38" name="Graphic 38"/>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40" name="Textbox 40"/>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936447pt;width:30.5pt;height:30.5pt;mso-position-horizontal-relative:page;mso-position-vertical-relative:paragraph;z-index:15732736" id="docshapegroup36" coordorigin="840,139" coordsize="610,610">
                <v:shape style="position:absolute;left:840;top:138;width:610;height:610" id="docshape37" coordorigin="840,139" coordsize="610,610" path="m1411,139l878,139,863,142,851,150,843,162,840,177,840,710,843,725,851,737,863,745,878,748,1411,748,1426,745,1438,737,1446,725,1449,710,1449,177,1446,162,1438,150,1426,142,1411,139xe" filled="true" fillcolor="#000000" stroked="false">
                  <v:path arrowok="t"/>
                  <v:fill type="solid"/>
                </v:shape>
                <v:shape style="position:absolute;left:890;top:189;width:508;height:508" id="docshape38" coordorigin="891,189" coordsize="508,508" path="m1145,189l1077,199,1017,224,965,264,925,315,900,376,891,443,900,511,925,571,965,623,1017,663,1077,688,1145,697,1212,688,1273,663,1324,623,1364,571,1389,511,1398,443,1389,376,1364,315,1324,264,1273,224,1212,199,1145,189xe" filled="true" fillcolor="#ffffff" stroked="false">
                  <v:path arrowok="t"/>
                  <v:fill type="solid"/>
                </v:shape>
                <v:shape style="position:absolute;left:840;top:138;width:610;height:610" type="#_x0000_t202" id="docshape39"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bookmarkStart w:name="Box 2c. Section 1202 Gain" w:id="27"/>
      <w:bookmarkEnd w:id="27"/>
      <w:r>
        <w:rPr/>
      </w:r>
      <w:bookmarkStart w:name="_bookmark10" w:id="28"/>
      <w:bookmarkEnd w:id="28"/>
      <w:r>
        <w:rPr/>
      </w:r>
      <w:r>
        <w:rPr>
          <w:rFonts w:ascii="Arial"/>
          <w:i/>
          <w:sz w:val="20"/>
        </w:rPr>
        <w:t>For information on the TIN Matching System </w:t>
      </w:r>
      <w:r>
        <w:rPr>
          <w:rFonts w:ascii="Arial"/>
          <w:i/>
          <w:spacing w:val="-2"/>
          <w:sz w:val="20"/>
        </w:rPr>
        <w:t>offered</w:t>
      </w:r>
      <w:r>
        <w:rPr>
          <w:rFonts w:ascii="Arial"/>
          <w:i/>
          <w:spacing w:val="-9"/>
          <w:sz w:val="20"/>
        </w:rPr>
        <w:t> </w:t>
      </w:r>
      <w:r>
        <w:rPr>
          <w:rFonts w:ascii="Arial"/>
          <w:i/>
          <w:spacing w:val="-2"/>
          <w:sz w:val="20"/>
        </w:rPr>
        <w:t>by</w:t>
      </w:r>
      <w:r>
        <w:rPr>
          <w:rFonts w:ascii="Arial"/>
          <w:i/>
          <w:spacing w:val="-9"/>
          <w:sz w:val="20"/>
        </w:rPr>
        <w:t> </w:t>
      </w:r>
      <w:r>
        <w:rPr>
          <w:rFonts w:ascii="Arial"/>
          <w:i/>
          <w:spacing w:val="-2"/>
          <w:sz w:val="20"/>
        </w:rPr>
        <w:t>the</w:t>
      </w:r>
      <w:r>
        <w:rPr>
          <w:rFonts w:ascii="Arial"/>
          <w:i/>
          <w:spacing w:val="-9"/>
          <w:sz w:val="20"/>
        </w:rPr>
        <w:t> </w:t>
      </w:r>
      <w:r>
        <w:rPr>
          <w:rFonts w:ascii="Arial"/>
          <w:i/>
          <w:spacing w:val="-2"/>
          <w:sz w:val="20"/>
        </w:rPr>
        <w:t>IRS,</w:t>
      </w:r>
      <w:r>
        <w:rPr>
          <w:rFonts w:ascii="Arial"/>
          <w:i/>
          <w:spacing w:val="-9"/>
          <w:sz w:val="20"/>
        </w:rPr>
        <w:t> </w:t>
      </w:r>
      <w:r>
        <w:rPr>
          <w:rFonts w:ascii="Arial"/>
          <w:i/>
          <w:spacing w:val="-2"/>
          <w:sz w:val="20"/>
        </w:rPr>
        <w:t>see</w:t>
      </w:r>
      <w:r>
        <w:rPr>
          <w:rFonts w:ascii="Arial"/>
          <w:i/>
          <w:spacing w:val="-9"/>
          <w:sz w:val="20"/>
        </w:rPr>
        <w:t> </w:t>
      </w:r>
      <w:r>
        <w:rPr>
          <w:spacing w:val="-2"/>
          <w:sz w:val="20"/>
        </w:rPr>
        <w:t>Items</w:t>
      </w:r>
      <w:r>
        <w:rPr>
          <w:spacing w:val="-9"/>
          <w:sz w:val="20"/>
        </w:rPr>
        <w:t> </w:t>
      </w:r>
      <w:r>
        <w:rPr>
          <w:spacing w:val="-2"/>
          <w:sz w:val="20"/>
        </w:rPr>
        <w:t>You</w:t>
      </w:r>
      <w:r>
        <w:rPr>
          <w:spacing w:val="-9"/>
          <w:sz w:val="20"/>
        </w:rPr>
        <w:t> </w:t>
      </w:r>
      <w:r>
        <w:rPr>
          <w:spacing w:val="-2"/>
          <w:sz w:val="20"/>
        </w:rPr>
        <w:t>Should</w:t>
      </w:r>
      <w:r>
        <w:rPr>
          <w:spacing w:val="-9"/>
          <w:sz w:val="20"/>
        </w:rPr>
        <w:t> </w:t>
      </w:r>
      <w:r>
        <w:rPr>
          <w:spacing w:val="-2"/>
          <w:sz w:val="20"/>
        </w:rPr>
        <w:t>Note</w:t>
      </w:r>
      <w:r>
        <w:rPr>
          <w:spacing w:val="-9"/>
          <w:sz w:val="20"/>
        </w:rPr>
        <w:t> </w:t>
      </w:r>
      <w:r>
        <w:rPr>
          <w:rFonts w:ascii="Arial"/>
          <w:i/>
          <w:spacing w:val="-2"/>
          <w:sz w:val="20"/>
        </w:rPr>
        <w:t>in </w:t>
      </w:r>
      <w:r>
        <w:rPr>
          <w:rFonts w:ascii="Arial"/>
          <w:i/>
          <w:sz w:val="20"/>
        </w:rPr>
        <w:t>the current General Instructions for Certain</w:t>
      </w:r>
    </w:p>
    <w:p>
      <w:pPr>
        <w:spacing w:line="227" w:lineRule="exact" w:before="0"/>
        <w:ind w:left="119" w:right="0" w:firstLine="0"/>
        <w:jc w:val="left"/>
        <w:rPr>
          <w:rFonts w:ascii="Arial"/>
          <w:i/>
          <w:sz w:val="20"/>
        </w:rPr>
      </w:pPr>
      <w:r>
        <w:rPr>
          <w:rFonts w:ascii="Arial"/>
          <w:i/>
          <w:spacing w:val="-2"/>
          <w:sz w:val="20"/>
        </w:rPr>
        <w:t>Information</w:t>
      </w:r>
      <w:r>
        <w:rPr>
          <w:rFonts w:ascii="Arial"/>
          <w:i/>
          <w:spacing w:val="-7"/>
          <w:sz w:val="20"/>
        </w:rPr>
        <w:t> </w:t>
      </w:r>
      <w:r>
        <w:rPr>
          <w:rFonts w:ascii="Arial"/>
          <w:i/>
          <w:spacing w:val="-2"/>
          <w:sz w:val="20"/>
        </w:rPr>
        <w:t>Returns.</w:t>
      </w:r>
    </w:p>
    <w:p>
      <w:pPr>
        <w:pStyle w:val="Heading2"/>
        <w:spacing w:before="222"/>
      </w:pPr>
      <w:bookmarkStart w:name="Account Number" w:id="29"/>
      <w:bookmarkEnd w:id="29"/>
      <w:r>
        <w:rPr/>
      </w:r>
      <w:bookmarkStart w:name="Box 2d. Collectibles (28%) Gain" w:id="30"/>
      <w:bookmarkEnd w:id="30"/>
      <w:r>
        <w:rPr/>
      </w:r>
      <w:bookmarkStart w:name="_bookmark11" w:id="31"/>
      <w:bookmarkEnd w:id="31"/>
      <w:r>
        <w:rPr/>
      </w:r>
      <w:r>
        <w:rPr>
          <w:w w:val="85"/>
        </w:rPr>
        <w:t>Account</w:t>
      </w:r>
      <w:r>
        <w:rPr>
          <w:spacing w:val="7"/>
        </w:rPr>
        <w:t> </w:t>
      </w:r>
      <w:r>
        <w:rPr>
          <w:spacing w:val="-2"/>
          <w:w w:val="95"/>
        </w:rPr>
        <w:t>Number</w:t>
      </w:r>
    </w:p>
    <w:p>
      <w:pPr>
        <w:pStyle w:val="BodyText"/>
        <w:spacing w:line="232" w:lineRule="auto" w:before="27"/>
        <w:ind w:right="91"/>
      </w:pPr>
      <w:r>
        <w:rPr/>
        <w:t>The account number is required if you have multiple accounts</w:t>
      </w:r>
      <w:r>
        <w:rPr>
          <w:spacing w:val="-13"/>
        </w:rPr>
        <w:t> </w:t>
      </w:r>
      <w:r>
        <w:rPr/>
        <w:t>for</w:t>
      </w:r>
      <w:r>
        <w:rPr>
          <w:spacing w:val="-13"/>
        </w:rPr>
        <w:t> </w:t>
      </w:r>
      <w:r>
        <w:rPr/>
        <w:t>a</w:t>
      </w:r>
      <w:r>
        <w:rPr>
          <w:spacing w:val="-13"/>
        </w:rPr>
        <w:t> </w:t>
      </w:r>
      <w:r>
        <w:rPr/>
        <w:t>recipient</w:t>
      </w:r>
      <w:r>
        <w:rPr>
          <w:spacing w:val="-13"/>
        </w:rPr>
        <w:t> </w:t>
      </w:r>
      <w:r>
        <w:rPr/>
        <w:t>for</w:t>
      </w:r>
      <w:r>
        <w:rPr>
          <w:spacing w:val="-13"/>
        </w:rPr>
        <w:t> </w:t>
      </w:r>
      <w:r>
        <w:rPr/>
        <w:t>whom</w:t>
      </w:r>
      <w:r>
        <w:rPr>
          <w:spacing w:val="-13"/>
        </w:rPr>
        <w:t> </w:t>
      </w:r>
      <w:r>
        <w:rPr/>
        <w:t>you</w:t>
      </w:r>
      <w:r>
        <w:rPr>
          <w:spacing w:val="-13"/>
        </w:rPr>
        <w:t> </w:t>
      </w:r>
      <w:r>
        <w:rPr/>
        <w:t>are</w:t>
      </w:r>
      <w:r>
        <w:rPr>
          <w:spacing w:val="-13"/>
        </w:rPr>
        <w:t> </w:t>
      </w:r>
      <w:r>
        <w:rPr/>
        <w:t>filing</w:t>
      </w:r>
      <w:r>
        <w:rPr>
          <w:spacing w:val="-13"/>
        </w:rPr>
        <w:t> </w:t>
      </w:r>
      <w:r>
        <w:rPr/>
        <w:t>more</w:t>
      </w:r>
      <w:r>
        <w:rPr>
          <w:spacing w:val="-13"/>
        </w:rPr>
        <w:t> </w:t>
      </w:r>
      <w:r>
        <w:rPr/>
        <w:t>than </w:t>
      </w:r>
      <w:r>
        <w:rPr>
          <w:spacing w:val="-2"/>
        </w:rPr>
        <w:t>one</w:t>
      </w:r>
      <w:r>
        <w:rPr>
          <w:spacing w:val="-7"/>
        </w:rPr>
        <w:t> </w:t>
      </w:r>
      <w:r>
        <w:rPr>
          <w:spacing w:val="-2"/>
        </w:rPr>
        <w:t>Form</w:t>
      </w:r>
      <w:r>
        <w:rPr>
          <w:spacing w:val="-7"/>
        </w:rPr>
        <w:t> </w:t>
      </w:r>
      <w:r>
        <w:rPr>
          <w:spacing w:val="-2"/>
        </w:rPr>
        <w:t>1099-DIV.</w:t>
      </w:r>
      <w:r>
        <w:rPr>
          <w:spacing w:val="-7"/>
        </w:rPr>
        <w:t> </w:t>
      </w:r>
      <w:r>
        <w:rPr>
          <w:spacing w:val="-2"/>
        </w:rPr>
        <w:t>The</w:t>
      </w:r>
      <w:r>
        <w:rPr>
          <w:spacing w:val="-7"/>
        </w:rPr>
        <w:t> </w:t>
      </w:r>
      <w:r>
        <w:rPr>
          <w:spacing w:val="-2"/>
        </w:rPr>
        <w:t>account</w:t>
      </w:r>
      <w:r>
        <w:rPr>
          <w:spacing w:val="-7"/>
        </w:rPr>
        <w:t> </w:t>
      </w:r>
      <w:r>
        <w:rPr>
          <w:spacing w:val="-2"/>
        </w:rPr>
        <w:t>number</w:t>
      </w:r>
      <w:r>
        <w:rPr>
          <w:spacing w:val="-7"/>
        </w:rPr>
        <w:t> </w:t>
      </w:r>
      <w:r>
        <w:rPr>
          <w:spacing w:val="-2"/>
        </w:rPr>
        <w:t>is</w:t>
      </w:r>
      <w:r>
        <w:rPr>
          <w:spacing w:val="-7"/>
        </w:rPr>
        <w:t> </w:t>
      </w:r>
      <w:r>
        <w:rPr>
          <w:spacing w:val="-2"/>
        </w:rPr>
        <w:t>also</w:t>
      </w:r>
      <w:r>
        <w:rPr>
          <w:spacing w:val="-7"/>
        </w:rPr>
        <w:t> </w:t>
      </w:r>
      <w:r>
        <w:rPr>
          <w:spacing w:val="-2"/>
        </w:rPr>
        <w:t>required </w:t>
      </w:r>
      <w:bookmarkStart w:name="Box 2e. Section 897 Ordinary Dividends" w:id="32"/>
      <w:bookmarkEnd w:id="32"/>
      <w:r>
        <w:rPr>
          <w:w w:val="101"/>
        </w:rPr>
      </w:r>
      <w:bookmarkStart w:name="_bookmark12" w:id="33"/>
      <w:bookmarkEnd w:id="33"/>
      <w:r>
        <w:rPr/>
        <w:t>if</w:t>
      </w:r>
      <w:r>
        <w:rPr/>
        <w:t> you check box 11, FATCA filing requirement. See </w:t>
      </w:r>
      <w:hyperlink w:history="true" w:anchor="_bookmark17">
        <w:r>
          <w:rPr>
            <w:rFonts w:ascii="Arial"/>
            <w:i/>
            <w:color w:val="0056A2"/>
            <w:u w:val="single" w:color="0055A1"/>
          </w:rPr>
          <w:t>Box</w:t>
        </w:r>
      </w:hyperlink>
      <w:r>
        <w:rPr>
          <w:rFonts w:ascii="Arial"/>
          <w:i/>
          <w:color w:val="0056A2"/>
        </w:rPr>
        <w:t> </w:t>
      </w:r>
      <w:hyperlink w:history="true" w:anchor="_bookmark17">
        <w:r>
          <w:rPr>
            <w:rFonts w:ascii="Arial"/>
            <w:i/>
            <w:color w:val="0056A2"/>
            <w:u w:val="single" w:color="0055A1"/>
          </w:rPr>
          <w:t>11</w:t>
        </w:r>
      </w:hyperlink>
      <w:r>
        <w:rPr/>
        <w:t>, later. Additionally, the IRS encourages you to designate</w:t>
      </w:r>
      <w:r>
        <w:rPr>
          <w:spacing w:val="-14"/>
        </w:rPr>
        <w:t> </w:t>
      </w:r>
      <w:r>
        <w:rPr/>
        <w:t>an</w:t>
      </w:r>
      <w:r>
        <w:rPr>
          <w:spacing w:val="-14"/>
        </w:rPr>
        <w:t> </w:t>
      </w:r>
      <w:r>
        <w:rPr/>
        <w:t>account</w:t>
      </w:r>
      <w:r>
        <w:rPr>
          <w:spacing w:val="-14"/>
        </w:rPr>
        <w:t> </w:t>
      </w:r>
      <w:r>
        <w:rPr/>
        <w:t>number</w:t>
      </w:r>
      <w:r>
        <w:rPr>
          <w:spacing w:val="-14"/>
        </w:rPr>
        <w:t> </w:t>
      </w:r>
      <w:r>
        <w:rPr/>
        <w:t>for</w:t>
      </w:r>
      <w:r>
        <w:rPr>
          <w:spacing w:val="-14"/>
        </w:rPr>
        <w:t> </w:t>
      </w:r>
      <w:r>
        <w:rPr/>
        <w:t>all</w:t>
      </w:r>
      <w:r>
        <w:rPr>
          <w:spacing w:val="-14"/>
        </w:rPr>
        <w:t> </w:t>
      </w:r>
      <w:r>
        <w:rPr/>
        <w:t>Forms</w:t>
      </w:r>
      <w:r>
        <w:rPr>
          <w:spacing w:val="-14"/>
        </w:rPr>
        <w:t> </w:t>
      </w:r>
      <w:r>
        <w:rPr/>
        <w:t>1099-DIV</w:t>
      </w:r>
      <w:r>
        <w:rPr>
          <w:spacing w:val="-14"/>
        </w:rPr>
        <w:t> </w:t>
      </w:r>
      <w:r>
        <w:rPr/>
        <w:t>that you</w:t>
      </w:r>
      <w:r>
        <w:rPr>
          <w:spacing w:val="-6"/>
        </w:rPr>
        <w:t> </w:t>
      </w:r>
      <w:r>
        <w:rPr/>
        <w:t>file.</w:t>
      </w:r>
      <w:r>
        <w:rPr>
          <w:spacing w:val="-6"/>
        </w:rPr>
        <w:t> </w:t>
      </w:r>
      <w:r>
        <w:rPr/>
        <w:t>See</w:t>
      </w:r>
      <w:r>
        <w:rPr>
          <w:spacing w:val="-6"/>
        </w:rPr>
        <w:t> </w:t>
      </w:r>
      <w:r>
        <w:rPr/>
        <w:t>part</w:t>
      </w:r>
      <w:r>
        <w:rPr>
          <w:spacing w:val="-6"/>
        </w:rPr>
        <w:t> </w:t>
      </w:r>
      <w:r>
        <w:rPr/>
        <w:t>L</w:t>
      </w:r>
      <w:r>
        <w:rPr>
          <w:spacing w:val="-6"/>
        </w:rPr>
        <w:t> </w:t>
      </w:r>
      <w:r>
        <w:rPr/>
        <w:t>in</w:t>
      </w:r>
      <w:r>
        <w:rPr>
          <w:spacing w:val="-6"/>
        </w:rPr>
        <w:t> </w:t>
      </w:r>
      <w:r>
        <w:rPr/>
        <w:t>the</w:t>
      </w:r>
      <w:r>
        <w:rPr>
          <w:spacing w:val="-6"/>
        </w:rPr>
        <w:t> </w:t>
      </w:r>
      <w:r>
        <w:rPr/>
        <w:t>current</w:t>
      </w:r>
      <w:r>
        <w:rPr>
          <w:spacing w:val="-6"/>
        </w:rPr>
        <w:t> </w:t>
      </w:r>
      <w:r>
        <w:rPr/>
        <w:t>General</w:t>
      </w:r>
      <w:r>
        <w:rPr>
          <w:spacing w:val="-6"/>
        </w:rPr>
        <w:t> </w:t>
      </w:r>
      <w:r>
        <w:rPr/>
        <w:t>Instructions</w:t>
      </w:r>
      <w:r>
        <w:rPr>
          <w:spacing w:val="-6"/>
        </w:rPr>
        <w:t> </w:t>
      </w:r>
      <w:r>
        <w:rPr/>
        <w:t>for Certain Information Returns.</w:t>
      </w:r>
    </w:p>
    <w:p>
      <w:pPr>
        <w:pStyle w:val="Heading2"/>
        <w:spacing w:before="130"/>
      </w:pPr>
      <w:bookmarkStart w:name="Box 1a. Total Ordinary Dividends" w:id="34"/>
      <w:bookmarkEnd w:id="34"/>
      <w:r>
        <w:rPr/>
      </w:r>
      <w:bookmarkStart w:name="Box 2f. Section 897 Capital Gain" w:id="35"/>
      <w:bookmarkEnd w:id="35"/>
      <w:r>
        <w:rPr/>
      </w:r>
      <w:bookmarkStart w:name="_bookmark13" w:id="36"/>
      <w:bookmarkEnd w:id="36"/>
      <w:r>
        <w:rPr/>
      </w:r>
      <w:bookmarkStart w:name="_bookmark14" w:id="37"/>
      <w:bookmarkEnd w:id="37"/>
      <w:r>
        <w:rPr/>
      </w:r>
      <w:r>
        <w:rPr>
          <w:w w:val="85"/>
        </w:rPr>
        <w:t>Box</w:t>
      </w:r>
      <w:r>
        <w:rPr>
          <w:spacing w:val="-8"/>
        </w:rPr>
        <w:t> </w:t>
      </w:r>
      <w:r>
        <w:rPr>
          <w:w w:val="85"/>
        </w:rPr>
        <w:t>1a.</w:t>
      </w:r>
      <w:r>
        <w:rPr>
          <w:spacing w:val="-7"/>
        </w:rPr>
        <w:t> </w:t>
      </w:r>
      <w:r>
        <w:rPr>
          <w:w w:val="85"/>
        </w:rPr>
        <w:t>Total</w:t>
      </w:r>
      <w:r>
        <w:rPr>
          <w:spacing w:val="-7"/>
        </w:rPr>
        <w:t> </w:t>
      </w:r>
      <w:r>
        <w:rPr>
          <w:w w:val="85"/>
        </w:rPr>
        <w:t>Ordinary</w:t>
      </w:r>
      <w:r>
        <w:rPr>
          <w:spacing w:val="-7"/>
        </w:rPr>
        <w:t> </w:t>
      </w:r>
      <w:r>
        <w:rPr>
          <w:spacing w:val="-2"/>
          <w:w w:val="85"/>
        </w:rPr>
        <w:t>Dividends</w:t>
      </w:r>
    </w:p>
    <w:p>
      <w:pPr>
        <w:pStyle w:val="BodyText"/>
        <w:spacing w:line="232" w:lineRule="auto" w:before="27"/>
        <w:ind w:left="119"/>
      </w:pPr>
      <w:r>
        <w:rPr/>
        <w:t>Enter dividends, including dividends from money market funds,</w:t>
      </w:r>
      <w:r>
        <w:rPr>
          <w:spacing w:val="-9"/>
        </w:rPr>
        <w:t> </w:t>
      </w:r>
      <w:r>
        <w:rPr/>
        <w:t>net</w:t>
      </w:r>
      <w:r>
        <w:rPr>
          <w:spacing w:val="-9"/>
        </w:rPr>
        <w:t> </w:t>
      </w:r>
      <w:r>
        <w:rPr/>
        <w:t>short-term</w:t>
      </w:r>
      <w:r>
        <w:rPr>
          <w:spacing w:val="-9"/>
        </w:rPr>
        <w:t> </w:t>
      </w:r>
      <w:r>
        <w:rPr/>
        <w:t>capital</w:t>
      </w:r>
      <w:r>
        <w:rPr>
          <w:spacing w:val="-9"/>
        </w:rPr>
        <w:t> </w:t>
      </w:r>
      <w:r>
        <w:rPr/>
        <w:t>gains</w:t>
      </w:r>
      <w:r>
        <w:rPr>
          <w:spacing w:val="-9"/>
        </w:rPr>
        <w:t> </w:t>
      </w:r>
      <w:r>
        <w:rPr/>
        <w:t>from</w:t>
      </w:r>
      <w:r>
        <w:rPr>
          <w:spacing w:val="-9"/>
        </w:rPr>
        <w:t> </w:t>
      </w:r>
      <w:r>
        <w:rPr/>
        <w:t>mutual</w:t>
      </w:r>
      <w:r>
        <w:rPr>
          <w:spacing w:val="-9"/>
        </w:rPr>
        <w:t> </w:t>
      </w:r>
      <w:r>
        <w:rPr/>
        <w:t>funds,</w:t>
      </w:r>
      <w:r>
        <w:rPr>
          <w:spacing w:val="-9"/>
        </w:rPr>
        <w:t> </w:t>
      </w:r>
      <w:r>
        <w:rPr/>
        <w:t>and other distributions on stock. Include reinvested dividends and section 404(k) dividends paid directly from the corporation.</w:t>
      </w:r>
      <w:r>
        <w:rPr>
          <w:spacing w:val="-14"/>
        </w:rPr>
        <w:t> </w:t>
      </w:r>
      <w:r>
        <w:rPr/>
        <w:t>Box</w:t>
      </w:r>
      <w:r>
        <w:rPr>
          <w:spacing w:val="-14"/>
        </w:rPr>
        <w:t> </w:t>
      </w:r>
      <w:r>
        <w:rPr/>
        <w:t>1a</w:t>
      </w:r>
      <w:r>
        <w:rPr>
          <w:spacing w:val="-14"/>
        </w:rPr>
        <w:t> </w:t>
      </w:r>
      <w:r>
        <w:rPr/>
        <w:t>includes</w:t>
      </w:r>
      <w:r>
        <w:rPr>
          <w:spacing w:val="-14"/>
        </w:rPr>
        <w:t> </w:t>
      </w:r>
      <w:r>
        <w:rPr/>
        <w:t>amounts</w:t>
      </w:r>
      <w:r>
        <w:rPr>
          <w:spacing w:val="-14"/>
        </w:rPr>
        <w:t> </w:t>
      </w:r>
      <w:r>
        <w:rPr/>
        <w:t>entered</w:t>
      </w:r>
      <w:r>
        <w:rPr>
          <w:spacing w:val="-14"/>
        </w:rPr>
        <w:t> </w:t>
      </w:r>
      <w:r>
        <w:rPr/>
        <w:t>in</w:t>
      </w:r>
      <w:r>
        <w:rPr>
          <w:spacing w:val="-14"/>
        </w:rPr>
        <w:t> </w:t>
      </w:r>
      <w:r>
        <w:rPr/>
        <w:t>boxes</w:t>
      </w:r>
      <w:r>
        <w:rPr>
          <w:spacing w:val="-14"/>
        </w:rPr>
        <w:t> </w:t>
      </w:r>
      <w:hyperlink w:history="true" w:anchor="_bookmark7">
        <w:r>
          <w:rPr>
            <w:color w:val="0056A2"/>
            <w:u w:val="single" w:color="0055A1"/>
          </w:rPr>
          <w:t>1b</w:t>
        </w:r>
      </w:hyperlink>
    </w:p>
    <w:p>
      <w:pPr>
        <w:pStyle w:val="BodyText"/>
        <w:spacing w:line="232" w:lineRule="auto" w:before="138"/>
      </w:pPr>
      <w:r>
        <w:rPr/>
        <w:br w:type="column"/>
      </w:r>
      <w:r>
        <w:rPr/>
        <w:t>and</w:t>
      </w:r>
      <w:r>
        <w:rPr>
          <w:spacing w:val="-12"/>
        </w:rPr>
        <w:t> </w:t>
      </w:r>
      <w:hyperlink w:history="true" w:anchor="_bookmark12">
        <w:r>
          <w:rPr>
            <w:color w:val="0056A2"/>
            <w:u w:val="single" w:color="0055A1"/>
          </w:rPr>
          <w:t>2e</w:t>
        </w:r>
      </w:hyperlink>
      <w:r>
        <w:rPr>
          <w:color w:val="0056A2"/>
          <w:spacing w:val="-12"/>
        </w:rPr>
        <w:t> </w:t>
      </w:r>
      <w:r>
        <w:rPr/>
        <w:t>and</w:t>
      </w:r>
      <w:r>
        <w:rPr>
          <w:spacing w:val="-12"/>
        </w:rPr>
        <w:t> </w:t>
      </w:r>
      <w:r>
        <w:rPr/>
        <w:t>it</w:t>
      </w:r>
      <w:r>
        <w:rPr>
          <w:spacing w:val="-12"/>
        </w:rPr>
        <w:t> </w:t>
      </w:r>
      <w:r>
        <w:rPr/>
        <w:t>also</w:t>
      </w:r>
      <w:r>
        <w:rPr>
          <w:spacing w:val="-12"/>
        </w:rPr>
        <w:t> </w:t>
      </w:r>
      <w:r>
        <w:rPr/>
        <w:t>includes</w:t>
      </w:r>
      <w:r>
        <w:rPr>
          <w:spacing w:val="-12"/>
        </w:rPr>
        <w:t> </w:t>
      </w:r>
      <w:r>
        <w:rPr/>
        <w:t>the</w:t>
      </w:r>
      <w:r>
        <w:rPr>
          <w:spacing w:val="-12"/>
        </w:rPr>
        <w:t> </w:t>
      </w:r>
      <w:r>
        <w:rPr/>
        <w:t>amount</w:t>
      </w:r>
      <w:r>
        <w:rPr>
          <w:spacing w:val="-12"/>
        </w:rPr>
        <w:t> </w:t>
      </w:r>
      <w:r>
        <w:rPr/>
        <w:t>of</w:t>
      </w:r>
      <w:r>
        <w:rPr>
          <w:spacing w:val="-12"/>
        </w:rPr>
        <w:t> </w:t>
      </w:r>
      <w:r>
        <w:rPr/>
        <w:t>the</w:t>
      </w:r>
      <w:r>
        <w:rPr>
          <w:spacing w:val="-12"/>
        </w:rPr>
        <w:t> </w:t>
      </w:r>
      <w:r>
        <w:rPr/>
        <w:t>recipient's share of investment expenses that you report in</w:t>
      </w:r>
      <w:r>
        <w:rPr>
          <w:spacing w:val="-1"/>
        </w:rPr>
        <w:t> </w:t>
      </w:r>
      <w:hyperlink w:history="true" w:anchor="_bookmark18">
        <w:r>
          <w:rPr>
            <w:color w:val="0056A2"/>
            <w:u w:val="single" w:color="0055A1"/>
          </w:rPr>
          <w:t>box 6</w:t>
        </w:r>
      </w:hyperlink>
      <w:r>
        <w:rPr/>
        <w:t>.</w:t>
      </w:r>
    </w:p>
    <w:p>
      <w:pPr>
        <w:spacing w:line="232" w:lineRule="auto" w:before="102"/>
        <w:ind w:left="816" w:right="176"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3248">
                <wp:simplePos x="0" y="0"/>
                <wp:positionH relativeFrom="page">
                  <wp:posOffset>4000500</wp:posOffset>
                </wp:positionH>
                <wp:positionV relativeFrom="paragraph">
                  <wp:posOffset>86256</wp:posOffset>
                </wp:positionV>
                <wp:extent cx="387350" cy="38735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387350" cy="387350"/>
                          <a:chExt cx="387350" cy="387350"/>
                        </a:xfrm>
                      </wpg:grpSpPr>
                      <wps:wsp>
                        <wps:cNvPr id="42" name="Graphic 42"/>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44" name="Textbox 44"/>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45" name="Textbox 45"/>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315pt;margin-top:6.79189pt;width:30.5pt;height:30.5pt;mso-position-horizontal-relative:page;mso-position-vertical-relative:paragraph;z-index:15733248" id="docshapegroup40" coordorigin="6300,136" coordsize="610,610">
                <v:shape style="position:absolute;left:6300;top:135;width:610;height:610" id="docshape41" coordorigin="6300,136" coordsize="610,610" path="m6871,136l6338,136,6323,139,6311,147,6303,159,6300,174,6300,707,6303,722,6311,734,6323,742,6338,745,6871,745,6886,742,6898,734,6906,722,6909,707,6909,174,6906,159,6898,147,6886,139,6871,136xe" filled="true" fillcolor="#000000" stroked="false">
                  <v:path arrowok="t"/>
                  <v:fill type="solid"/>
                </v:shape>
                <v:shape style="position:absolute;left:6367;top:203;width:474;height:407" id="docshape42" coordorigin="6368,204" coordsize="474,407" path="m6605,204l6368,610,6842,610,6605,204xe" filled="true" fillcolor="#ffffff" stroked="false">
                  <v:path arrowok="t"/>
                  <v:fill type="solid"/>
                </v:shape>
                <v:shape style="position:absolute;left:6328;top:606;width:563;height:131" type="#_x0000_t202" id="docshape43"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36;top:217;width:144;height:444" type="#_x0000_t202" id="docshape44"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sz w:val="20"/>
        </w:rPr>
        <w:t>An S corporation reports as dividends on Form 1099-DIV only distributions made during the tax year</w:t>
      </w:r>
      <w:r>
        <w:rPr>
          <w:rFonts w:ascii="Arial"/>
          <w:i/>
          <w:spacing w:val="-14"/>
          <w:sz w:val="20"/>
        </w:rPr>
        <w:t> </w:t>
      </w:r>
      <w:r>
        <w:rPr>
          <w:rFonts w:ascii="Arial"/>
          <w:i/>
          <w:sz w:val="20"/>
        </w:rPr>
        <w:t>out</w:t>
      </w:r>
      <w:r>
        <w:rPr>
          <w:rFonts w:ascii="Arial"/>
          <w:i/>
          <w:spacing w:val="-14"/>
          <w:sz w:val="20"/>
        </w:rPr>
        <w:t> </w:t>
      </w:r>
      <w:r>
        <w:rPr>
          <w:rFonts w:ascii="Arial"/>
          <w:i/>
          <w:sz w:val="20"/>
        </w:rPr>
        <w:t>of</w:t>
      </w:r>
      <w:r>
        <w:rPr>
          <w:rFonts w:ascii="Arial"/>
          <w:i/>
          <w:spacing w:val="-14"/>
          <w:sz w:val="20"/>
        </w:rPr>
        <w:t> </w:t>
      </w:r>
      <w:r>
        <w:rPr>
          <w:rFonts w:ascii="Arial"/>
          <w:i/>
          <w:sz w:val="20"/>
        </w:rPr>
        <w:t>accumulated</w:t>
      </w:r>
      <w:r>
        <w:rPr>
          <w:rFonts w:ascii="Arial"/>
          <w:i/>
          <w:spacing w:val="-14"/>
          <w:sz w:val="20"/>
        </w:rPr>
        <w:t> </w:t>
      </w:r>
      <w:r>
        <w:rPr>
          <w:rFonts w:ascii="Arial"/>
          <w:i/>
          <w:sz w:val="20"/>
        </w:rPr>
        <w:t>earnings</w:t>
      </w:r>
      <w:r>
        <w:rPr>
          <w:rFonts w:ascii="Arial"/>
          <w:i/>
          <w:spacing w:val="-14"/>
          <w:sz w:val="20"/>
        </w:rPr>
        <w:t> </w:t>
      </w:r>
      <w:r>
        <w:rPr>
          <w:rFonts w:ascii="Arial"/>
          <w:i/>
          <w:sz w:val="20"/>
        </w:rPr>
        <w:t>and</w:t>
      </w:r>
      <w:r>
        <w:rPr>
          <w:rFonts w:ascii="Arial"/>
          <w:i/>
          <w:spacing w:val="-14"/>
          <w:sz w:val="20"/>
        </w:rPr>
        <w:t> </w:t>
      </w:r>
      <w:r>
        <w:rPr>
          <w:rFonts w:ascii="Arial"/>
          <w:i/>
          <w:sz w:val="20"/>
        </w:rPr>
        <w:t>profits.</w:t>
      </w:r>
      <w:r>
        <w:rPr>
          <w:rFonts w:ascii="Arial"/>
          <w:i/>
          <w:spacing w:val="-14"/>
          <w:sz w:val="20"/>
        </w:rPr>
        <w:t> </w:t>
      </w:r>
      <w:r>
        <w:rPr>
          <w:rFonts w:ascii="Arial"/>
          <w:i/>
          <w:sz w:val="20"/>
        </w:rPr>
        <w:t>See</w:t>
      </w:r>
    </w:p>
    <w:p>
      <w:pPr>
        <w:spacing w:line="227" w:lineRule="exact" w:before="0"/>
        <w:ind w:left="120" w:right="0" w:firstLine="0"/>
        <w:jc w:val="left"/>
        <w:rPr>
          <w:rFonts w:ascii="Arial"/>
          <w:i/>
          <w:sz w:val="20"/>
        </w:rPr>
      </w:pPr>
      <w:r>
        <w:rPr>
          <w:rFonts w:ascii="Arial"/>
          <w:i/>
          <w:sz w:val="20"/>
        </w:rPr>
        <w:t>section</w:t>
      </w:r>
      <w:r>
        <w:rPr>
          <w:rFonts w:ascii="Arial"/>
          <w:i/>
          <w:spacing w:val="-13"/>
          <w:sz w:val="20"/>
        </w:rPr>
        <w:t> </w:t>
      </w:r>
      <w:r>
        <w:rPr>
          <w:rFonts w:ascii="Arial"/>
          <w:i/>
          <w:sz w:val="20"/>
        </w:rPr>
        <w:t>1368</w:t>
      </w:r>
      <w:r>
        <w:rPr>
          <w:rFonts w:ascii="Arial"/>
          <w:i/>
          <w:spacing w:val="-12"/>
          <w:sz w:val="20"/>
        </w:rPr>
        <w:t> </w:t>
      </w:r>
      <w:r>
        <w:rPr>
          <w:rFonts w:ascii="Arial"/>
          <w:i/>
          <w:sz w:val="20"/>
        </w:rPr>
        <w:t>for</w:t>
      </w:r>
      <w:r>
        <w:rPr>
          <w:rFonts w:ascii="Arial"/>
          <w:i/>
          <w:spacing w:val="-12"/>
          <w:sz w:val="20"/>
        </w:rPr>
        <w:t> </w:t>
      </w:r>
      <w:r>
        <w:rPr>
          <w:rFonts w:ascii="Arial"/>
          <w:i/>
          <w:sz w:val="20"/>
        </w:rPr>
        <w:t>more</w:t>
      </w:r>
      <w:r>
        <w:rPr>
          <w:rFonts w:ascii="Arial"/>
          <w:i/>
          <w:spacing w:val="-12"/>
          <w:sz w:val="20"/>
        </w:rPr>
        <w:t> </w:t>
      </w:r>
      <w:r>
        <w:rPr>
          <w:rFonts w:ascii="Arial"/>
          <w:i/>
          <w:spacing w:val="-2"/>
          <w:sz w:val="20"/>
        </w:rPr>
        <w:t>information.</w:t>
      </w:r>
    </w:p>
    <w:p>
      <w:pPr>
        <w:pStyle w:val="Heading2"/>
        <w:spacing w:before="222"/>
      </w:pPr>
      <w:r>
        <w:rPr>
          <w:w w:val="85"/>
        </w:rPr>
        <w:t>Box</w:t>
      </w:r>
      <w:r>
        <w:rPr>
          <w:spacing w:val="-2"/>
        </w:rPr>
        <w:t> </w:t>
      </w:r>
      <w:r>
        <w:rPr>
          <w:w w:val="85"/>
        </w:rPr>
        <w:t>1b.</w:t>
      </w:r>
      <w:r>
        <w:rPr>
          <w:spacing w:val="-1"/>
        </w:rPr>
        <w:t> </w:t>
      </w:r>
      <w:r>
        <w:rPr>
          <w:w w:val="85"/>
        </w:rPr>
        <w:t>Qualified</w:t>
      </w:r>
      <w:r>
        <w:rPr>
          <w:spacing w:val="-2"/>
        </w:rPr>
        <w:t> </w:t>
      </w:r>
      <w:r>
        <w:rPr>
          <w:spacing w:val="-2"/>
          <w:w w:val="85"/>
        </w:rPr>
        <w:t>Dividends</w:t>
      </w:r>
    </w:p>
    <w:p>
      <w:pPr>
        <w:pStyle w:val="BodyText"/>
        <w:spacing w:line="232" w:lineRule="auto" w:before="27"/>
        <w:ind w:left="119" w:right="227"/>
      </w:pPr>
      <w:r>
        <w:rPr/>
        <w:t>Enter</w:t>
      </w:r>
      <w:r>
        <w:rPr>
          <w:spacing w:val="-10"/>
        </w:rPr>
        <w:t> </w:t>
      </w:r>
      <w:r>
        <w:rPr/>
        <w:t>the</w:t>
      </w:r>
      <w:r>
        <w:rPr>
          <w:spacing w:val="-10"/>
        </w:rPr>
        <w:t> </w:t>
      </w:r>
      <w:r>
        <w:rPr/>
        <w:t>portion</w:t>
      </w:r>
      <w:r>
        <w:rPr>
          <w:spacing w:val="-10"/>
        </w:rPr>
        <w:t> </w:t>
      </w:r>
      <w:r>
        <w:rPr/>
        <w:t>of</w:t>
      </w:r>
      <w:r>
        <w:rPr>
          <w:spacing w:val="-10"/>
        </w:rPr>
        <w:t> </w:t>
      </w:r>
      <w:r>
        <w:rPr/>
        <w:t>the</w:t>
      </w:r>
      <w:r>
        <w:rPr>
          <w:spacing w:val="-10"/>
        </w:rPr>
        <w:t> </w:t>
      </w:r>
      <w:r>
        <w:rPr/>
        <w:t>dividends</w:t>
      </w:r>
      <w:r>
        <w:rPr>
          <w:spacing w:val="-10"/>
        </w:rPr>
        <w:t> </w:t>
      </w:r>
      <w:r>
        <w:rPr/>
        <w:t>in</w:t>
      </w:r>
      <w:r>
        <w:rPr>
          <w:spacing w:val="-11"/>
        </w:rPr>
        <w:t> </w:t>
      </w:r>
      <w:hyperlink w:history="true" w:anchor="_bookmark14">
        <w:r>
          <w:rPr>
            <w:color w:val="0056A2"/>
            <w:u w:val="single" w:color="0055A1"/>
          </w:rPr>
          <w:t>box</w:t>
        </w:r>
        <w:r>
          <w:rPr>
            <w:color w:val="0056A2"/>
            <w:spacing w:val="-10"/>
            <w:u w:val="single" w:color="0055A1"/>
          </w:rPr>
          <w:t> </w:t>
        </w:r>
        <w:r>
          <w:rPr>
            <w:color w:val="0056A2"/>
            <w:u w:val="single" w:color="0055A1"/>
          </w:rPr>
          <w:t>1a</w:t>
        </w:r>
      </w:hyperlink>
      <w:r>
        <w:rPr>
          <w:color w:val="0056A2"/>
          <w:spacing w:val="-10"/>
        </w:rPr>
        <w:t> </w:t>
      </w:r>
      <w:r>
        <w:rPr/>
        <w:t>that</w:t>
      </w:r>
      <w:r>
        <w:rPr>
          <w:spacing w:val="-10"/>
        </w:rPr>
        <w:t> </w:t>
      </w:r>
      <w:r>
        <w:rPr/>
        <w:t>qualifies for</w:t>
      </w:r>
      <w:r>
        <w:rPr>
          <w:spacing w:val="-9"/>
        </w:rPr>
        <w:t> </w:t>
      </w:r>
      <w:r>
        <w:rPr/>
        <w:t>the</w:t>
      </w:r>
      <w:r>
        <w:rPr>
          <w:spacing w:val="-9"/>
        </w:rPr>
        <w:t> </w:t>
      </w:r>
      <w:r>
        <w:rPr/>
        <w:t>reduced</w:t>
      </w:r>
      <w:r>
        <w:rPr>
          <w:spacing w:val="-9"/>
        </w:rPr>
        <w:t> </w:t>
      </w:r>
      <w:r>
        <w:rPr/>
        <w:t>capital</w:t>
      </w:r>
      <w:r>
        <w:rPr>
          <w:spacing w:val="-9"/>
        </w:rPr>
        <w:t> </w:t>
      </w:r>
      <w:r>
        <w:rPr/>
        <w:t>gains</w:t>
      </w:r>
      <w:r>
        <w:rPr>
          <w:spacing w:val="-9"/>
        </w:rPr>
        <w:t> </w:t>
      </w:r>
      <w:r>
        <w:rPr/>
        <w:t>rates.</w:t>
      </w:r>
      <w:r>
        <w:rPr>
          <w:spacing w:val="-9"/>
        </w:rPr>
        <w:t> </w:t>
      </w:r>
      <w:r>
        <w:rPr/>
        <w:t>Include</w:t>
      </w:r>
      <w:r>
        <w:rPr>
          <w:spacing w:val="-9"/>
        </w:rPr>
        <w:t> </w:t>
      </w:r>
      <w:r>
        <w:rPr/>
        <w:t>dividends</w:t>
      </w:r>
      <w:r>
        <w:rPr>
          <w:spacing w:val="-9"/>
        </w:rPr>
        <w:t> </w:t>
      </w:r>
      <w:r>
        <w:rPr/>
        <w:t>for which</w:t>
      </w:r>
      <w:r>
        <w:rPr>
          <w:spacing w:val="-12"/>
        </w:rPr>
        <w:t> </w:t>
      </w:r>
      <w:r>
        <w:rPr/>
        <w:t>it</w:t>
      </w:r>
      <w:r>
        <w:rPr>
          <w:spacing w:val="-12"/>
        </w:rPr>
        <w:t> </w:t>
      </w:r>
      <w:r>
        <w:rPr/>
        <w:t>is</w:t>
      </w:r>
      <w:r>
        <w:rPr>
          <w:spacing w:val="-12"/>
        </w:rPr>
        <w:t> </w:t>
      </w:r>
      <w:r>
        <w:rPr/>
        <w:t>impractical</w:t>
      </w:r>
      <w:r>
        <w:rPr>
          <w:spacing w:val="-12"/>
        </w:rPr>
        <w:t> </w:t>
      </w:r>
      <w:r>
        <w:rPr/>
        <w:t>to</w:t>
      </w:r>
      <w:r>
        <w:rPr>
          <w:spacing w:val="-12"/>
        </w:rPr>
        <w:t> </w:t>
      </w:r>
      <w:r>
        <w:rPr/>
        <w:t>determine</w:t>
      </w:r>
      <w:r>
        <w:rPr>
          <w:spacing w:val="-12"/>
        </w:rPr>
        <w:t> </w:t>
      </w:r>
      <w:r>
        <w:rPr/>
        <w:t>if</w:t>
      </w:r>
      <w:r>
        <w:rPr>
          <w:spacing w:val="-12"/>
        </w:rPr>
        <w:t> </w:t>
      </w:r>
      <w:r>
        <w:rPr/>
        <w:t>the</w:t>
      </w:r>
      <w:r>
        <w:rPr>
          <w:spacing w:val="-12"/>
        </w:rPr>
        <w:t> </w:t>
      </w:r>
      <w:r>
        <w:rPr/>
        <w:t>section</w:t>
      </w:r>
      <w:r>
        <w:rPr>
          <w:spacing w:val="-12"/>
        </w:rPr>
        <w:t> </w:t>
      </w:r>
      <w:r>
        <w:rPr/>
        <w:t>1(h)(11) (B)(iii) holding period requirement has been met. See </w:t>
      </w:r>
      <w:hyperlink w:history="true" w:anchor="_bookmark1">
        <w:r>
          <w:rPr>
            <w:rFonts w:ascii="Arial"/>
            <w:i/>
            <w:color w:val="0056A2"/>
            <w:u w:val="single" w:color="0055A1"/>
          </w:rPr>
          <w:t>Qualified Dividends</w:t>
        </w:r>
      </w:hyperlink>
      <w:r>
        <w:rPr>
          <w:rFonts w:ascii="Arial"/>
          <w:i/>
          <w:color w:val="0056A2"/>
        </w:rPr>
        <w:t> </w:t>
      </w:r>
      <w:r>
        <w:rPr/>
        <w:t>and the </w:t>
      </w:r>
      <w:hyperlink w:history="true" w:anchor="_bookmark0">
        <w:r>
          <w:rPr>
            <w:rFonts w:ascii="Arial"/>
            <w:i/>
            <w:color w:val="0056A2"/>
            <w:u w:val="single" w:color="0055A1"/>
          </w:rPr>
          <w:t>Caution</w:t>
        </w:r>
      </w:hyperlink>
      <w:r>
        <w:rPr>
          <w:rFonts w:ascii="Arial"/>
          <w:i/>
        </w:rPr>
        <w:t>, </w:t>
      </w:r>
      <w:r>
        <w:rPr/>
        <w:t>earlier.</w:t>
      </w:r>
    </w:p>
    <w:p>
      <w:pPr>
        <w:pStyle w:val="BodyText"/>
        <w:spacing w:line="232" w:lineRule="auto" w:before="177"/>
        <w:ind w:left="119" w:right="258" w:firstLine="240"/>
      </w:pPr>
      <w:r>
        <w:rPr/>
        <w:t>You must report a dividend paid by a foreign corporation</w:t>
      </w:r>
      <w:r>
        <w:rPr>
          <w:spacing w:val="-12"/>
        </w:rPr>
        <w:t> </w:t>
      </w:r>
      <w:r>
        <w:rPr/>
        <w:t>according</w:t>
      </w:r>
      <w:r>
        <w:rPr>
          <w:spacing w:val="-12"/>
        </w:rPr>
        <w:t> </w:t>
      </w:r>
      <w:r>
        <w:rPr/>
        <w:t>to</w:t>
      </w:r>
      <w:r>
        <w:rPr>
          <w:spacing w:val="-12"/>
        </w:rPr>
        <w:t> </w:t>
      </w:r>
      <w:r>
        <w:rPr/>
        <w:t>the</w:t>
      </w:r>
      <w:r>
        <w:rPr>
          <w:spacing w:val="-12"/>
        </w:rPr>
        <w:t> </w:t>
      </w:r>
      <w:r>
        <w:rPr/>
        <w:t>guidance</w:t>
      </w:r>
      <w:r>
        <w:rPr>
          <w:spacing w:val="-12"/>
        </w:rPr>
        <w:t> </w:t>
      </w:r>
      <w:r>
        <w:rPr/>
        <w:t>provided</w:t>
      </w:r>
      <w:r>
        <w:rPr>
          <w:spacing w:val="-12"/>
        </w:rPr>
        <w:t> </w:t>
      </w:r>
      <w:r>
        <w:rPr/>
        <w:t>in</w:t>
      </w:r>
      <w:r>
        <w:rPr>
          <w:spacing w:val="-12"/>
        </w:rPr>
        <w:t> </w:t>
      </w:r>
      <w:r>
        <w:rPr/>
        <w:t>Notice 2003-79, 2003-50 I.R.B. 1206, available at</w:t>
      </w:r>
    </w:p>
    <w:p>
      <w:pPr>
        <w:spacing w:line="232" w:lineRule="auto" w:before="3"/>
        <w:ind w:left="119" w:right="349" w:firstLine="0"/>
        <w:jc w:val="left"/>
        <w:rPr>
          <w:sz w:val="20"/>
        </w:rPr>
      </w:pPr>
      <w:hyperlink r:id="rId25">
        <w:r>
          <w:rPr>
            <w:rFonts w:ascii="Arial"/>
            <w:i/>
            <w:color w:val="0056A2"/>
            <w:sz w:val="20"/>
            <w:u w:val="single" w:color="0055A1"/>
          </w:rPr>
          <w:t>IRS.gov/irb/2003-50_IRB#NOT-2003-79</w:t>
        </w:r>
      </w:hyperlink>
      <w:r>
        <w:rPr>
          <w:sz w:val="20"/>
        </w:rPr>
        <w:t>, and Notice 2004-71, 2004-45 I.R.B. 793, available at </w:t>
      </w:r>
      <w:hyperlink r:id="rId26">
        <w:r>
          <w:rPr>
            <w:rFonts w:ascii="Arial"/>
            <w:i/>
            <w:color w:val="0056A2"/>
            <w:sz w:val="20"/>
            <w:u w:val="single" w:color="0055A1"/>
          </w:rPr>
          <w:t>IRS.gov/irb/</w:t>
        </w:r>
      </w:hyperlink>
      <w:r>
        <w:rPr>
          <w:rFonts w:ascii="Arial"/>
          <w:i/>
          <w:color w:val="0056A2"/>
          <w:sz w:val="20"/>
        </w:rPr>
        <w:t> </w:t>
      </w:r>
      <w:hyperlink r:id="rId26">
        <w:r>
          <w:rPr>
            <w:rFonts w:ascii="Arial"/>
            <w:i/>
            <w:color w:val="0056A2"/>
            <w:spacing w:val="-2"/>
            <w:sz w:val="20"/>
            <w:u w:val="single" w:color="0055A1"/>
          </w:rPr>
          <w:t>2004-45_IRB#NOT-2004-71</w:t>
        </w:r>
      </w:hyperlink>
      <w:r>
        <w:rPr>
          <w:spacing w:val="-2"/>
          <w:sz w:val="20"/>
        </w:rPr>
        <w:t>,</w:t>
      </w:r>
      <w:r>
        <w:rPr>
          <w:spacing w:val="-5"/>
          <w:sz w:val="20"/>
        </w:rPr>
        <w:t> </w:t>
      </w:r>
      <w:r>
        <w:rPr>
          <w:spacing w:val="-2"/>
          <w:sz w:val="20"/>
        </w:rPr>
        <w:t>which</w:t>
      </w:r>
      <w:r>
        <w:rPr>
          <w:spacing w:val="-5"/>
          <w:sz w:val="20"/>
        </w:rPr>
        <w:t> </w:t>
      </w:r>
      <w:r>
        <w:rPr>
          <w:spacing w:val="-2"/>
          <w:sz w:val="20"/>
        </w:rPr>
        <w:t>contain</w:t>
      </w:r>
      <w:r>
        <w:rPr>
          <w:spacing w:val="-5"/>
          <w:sz w:val="20"/>
        </w:rPr>
        <w:t> </w:t>
      </w:r>
      <w:r>
        <w:rPr>
          <w:spacing w:val="-2"/>
          <w:sz w:val="20"/>
        </w:rPr>
        <w:t>the</w:t>
      </w:r>
      <w:r>
        <w:rPr>
          <w:spacing w:val="-5"/>
          <w:sz w:val="20"/>
        </w:rPr>
        <w:t> </w:t>
      </w:r>
      <w:r>
        <w:rPr>
          <w:spacing w:val="-2"/>
          <w:sz w:val="20"/>
        </w:rPr>
        <w:t>rules</w:t>
      </w:r>
      <w:r>
        <w:rPr>
          <w:spacing w:val="-5"/>
          <w:sz w:val="20"/>
        </w:rPr>
        <w:t> </w:t>
      </w:r>
      <w:r>
        <w:rPr>
          <w:spacing w:val="-2"/>
          <w:sz w:val="20"/>
        </w:rPr>
        <w:t>for</w:t>
      </w:r>
    </w:p>
    <w:p>
      <w:pPr>
        <w:pStyle w:val="BodyText"/>
        <w:spacing w:line="232" w:lineRule="auto" w:before="2"/>
        <w:ind w:left="119" w:right="155"/>
      </w:pPr>
      <w:r>
        <w:rPr/>
        <w:t>reporting</w:t>
      </w:r>
      <w:r>
        <w:rPr>
          <w:spacing w:val="-13"/>
        </w:rPr>
        <w:t> </w:t>
      </w:r>
      <w:r>
        <w:rPr/>
        <w:t>the</w:t>
      </w:r>
      <w:r>
        <w:rPr>
          <w:spacing w:val="-13"/>
        </w:rPr>
        <w:t> </w:t>
      </w:r>
      <w:r>
        <w:rPr/>
        <w:t>dividend</w:t>
      </w:r>
      <w:r>
        <w:rPr>
          <w:spacing w:val="-13"/>
        </w:rPr>
        <w:t> </w:t>
      </w:r>
      <w:r>
        <w:rPr/>
        <w:t>for</w:t>
      </w:r>
      <w:r>
        <w:rPr>
          <w:spacing w:val="-13"/>
        </w:rPr>
        <w:t> </w:t>
      </w:r>
      <w:r>
        <w:rPr/>
        <w:t>tax</w:t>
      </w:r>
      <w:r>
        <w:rPr>
          <w:spacing w:val="-13"/>
        </w:rPr>
        <w:t> </w:t>
      </w:r>
      <w:r>
        <w:rPr/>
        <w:t>years</w:t>
      </w:r>
      <w:r>
        <w:rPr>
          <w:spacing w:val="-13"/>
        </w:rPr>
        <w:t> </w:t>
      </w:r>
      <w:r>
        <w:rPr/>
        <w:t>2003</w:t>
      </w:r>
      <w:r>
        <w:rPr>
          <w:spacing w:val="-13"/>
        </w:rPr>
        <w:t> </w:t>
      </w:r>
      <w:r>
        <w:rPr/>
        <w:t>and</w:t>
      </w:r>
      <w:r>
        <w:rPr>
          <w:spacing w:val="-13"/>
        </w:rPr>
        <w:t> </w:t>
      </w:r>
      <w:r>
        <w:rPr/>
        <w:t>2004.</w:t>
      </w:r>
      <w:r>
        <w:rPr>
          <w:spacing w:val="-13"/>
        </w:rPr>
        <w:t> </w:t>
      </w:r>
      <w:r>
        <w:rPr/>
        <w:t>These rules</w:t>
      </w:r>
      <w:r>
        <w:rPr>
          <w:spacing w:val="-4"/>
        </w:rPr>
        <w:t> </w:t>
      </w:r>
      <w:r>
        <w:rPr/>
        <w:t>are</w:t>
      </w:r>
      <w:r>
        <w:rPr>
          <w:spacing w:val="-4"/>
        </w:rPr>
        <w:t> </w:t>
      </w:r>
      <w:r>
        <w:rPr/>
        <w:t>extended</w:t>
      </w:r>
      <w:r>
        <w:rPr>
          <w:spacing w:val="-4"/>
        </w:rPr>
        <w:t> </w:t>
      </w:r>
      <w:r>
        <w:rPr/>
        <w:t>for</w:t>
      </w:r>
      <w:r>
        <w:rPr>
          <w:spacing w:val="-4"/>
        </w:rPr>
        <w:t> </w:t>
      </w:r>
      <w:r>
        <w:rPr/>
        <w:t>2005</w:t>
      </w:r>
      <w:r>
        <w:rPr>
          <w:spacing w:val="-4"/>
        </w:rPr>
        <w:t> </w:t>
      </w:r>
      <w:r>
        <w:rPr/>
        <w:t>and</w:t>
      </w:r>
      <w:r>
        <w:rPr>
          <w:spacing w:val="-4"/>
        </w:rPr>
        <w:t> </w:t>
      </w:r>
      <w:r>
        <w:rPr/>
        <w:t>subsequent</w:t>
      </w:r>
      <w:r>
        <w:rPr>
          <w:spacing w:val="-4"/>
        </w:rPr>
        <w:t> </w:t>
      </w:r>
      <w:r>
        <w:rPr/>
        <w:t>tax</w:t>
      </w:r>
      <w:r>
        <w:rPr>
          <w:spacing w:val="-4"/>
        </w:rPr>
        <w:t> </w:t>
      </w:r>
      <w:r>
        <w:rPr/>
        <w:t>years</w:t>
      </w:r>
      <w:r>
        <w:rPr>
          <w:spacing w:val="-4"/>
        </w:rPr>
        <w:t> </w:t>
      </w:r>
      <w:r>
        <w:rPr/>
        <w:t>by Notice</w:t>
      </w:r>
      <w:r>
        <w:rPr>
          <w:spacing w:val="-14"/>
        </w:rPr>
        <w:t> </w:t>
      </w:r>
      <w:r>
        <w:rPr/>
        <w:t>2006-3,</w:t>
      </w:r>
      <w:r>
        <w:rPr>
          <w:spacing w:val="-14"/>
        </w:rPr>
        <w:t> </w:t>
      </w:r>
      <w:r>
        <w:rPr/>
        <w:t>2006-3</w:t>
      </w:r>
      <w:r>
        <w:rPr>
          <w:spacing w:val="-14"/>
        </w:rPr>
        <w:t> </w:t>
      </w:r>
      <w:r>
        <w:rPr/>
        <w:t>I.R.B.</w:t>
      </w:r>
      <w:r>
        <w:rPr>
          <w:spacing w:val="-14"/>
        </w:rPr>
        <w:t> </w:t>
      </w:r>
      <w:r>
        <w:rPr/>
        <w:t>306,</w:t>
      </w:r>
      <w:r>
        <w:rPr>
          <w:spacing w:val="-14"/>
        </w:rPr>
        <w:t> </w:t>
      </w:r>
      <w:r>
        <w:rPr/>
        <w:t>available</w:t>
      </w:r>
      <w:r>
        <w:rPr>
          <w:spacing w:val="-14"/>
        </w:rPr>
        <w:t> </w:t>
      </w:r>
      <w:r>
        <w:rPr/>
        <w:t>at</w:t>
      </w:r>
      <w:r>
        <w:rPr>
          <w:spacing w:val="-14"/>
        </w:rPr>
        <w:t> </w:t>
      </w:r>
      <w:hyperlink r:id="rId16">
        <w:r>
          <w:rPr>
            <w:rFonts w:ascii="Arial"/>
            <w:i/>
            <w:color w:val="0056A2"/>
            <w:u w:val="single" w:color="0055A1"/>
          </w:rPr>
          <w:t>IRS.gov/irb/</w:t>
        </w:r>
      </w:hyperlink>
      <w:r>
        <w:rPr>
          <w:rFonts w:ascii="Arial"/>
          <w:i/>
          <w:color w:val="0056A2"/>
        </w:rPr>
        <w:t> </w:t>
      </w:r>
      <w:hyperlink r:id="rId16">
        <w:r>
          <w:rPr>
            <w:rFonts w:ascii="Arial"/>
            <w:i/>
            <w:color w:val="0056A2"/>
            <w:spacing w:val="-2"/>
            <w:u w:val="single" w:color="0055A1"/>
          </w:rPr>
          <w:t>2006-03_IRB#NOT-2006-3</w:t>
        </w:r>
      </w:hyperlink>
      <w:r>
        <w:rPr>
          <w:spacing w:val="-2"/>
        </w:rPr>
        <w:t>.</w:t>
      </w:r>
    </w:p>
    <w:p>
      <w:pPr>
        <w:spacing w:line="232" w:lineRule="auto" w:before="104"/>
        <w:ind w:left="815" w:right="119"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3760">
                <wp:simplePos x="0" y="0"/>
                <wp:positionH relativeFrom="page">
                  <wp:posOffset>4000500</wp:posOffset>
                </wp:positionH>
                <wp:positionV relativeFrom="paragraph">
                  <wp:posOffset>87658</wp:posOffset>
                </wp:positionV>
                <wp:extent cx="387350" cy="38735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387350" cy="387350"/>
                          <a:chExt cx="387350" cy="387350"/>
                        </a:xfrm>
                      </wpg:grpSpPr>
                      <wps:wsp>
                        <wps:cNvPr id="47" name="Graphic 47"/>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49" name="Textbox 49"/>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0" name="Textbox 50"/>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315pt;margin-top:6.902257pt;width:30.5pt;height:30.5pt;mso-position-horizontal-relative:page;mso-position-vertical-relative:paragraph;z-index:15733760" id="docshapegroup45" coordorigin="6300,138" coordsize="610,610">
                <v:shape style="position:absolute;left:6300;top:138;width:610;height:610" id="docshape46" coordorigin="6300,138" coordsize="610,610" path="m6871,138l6338,138,6323,141,6311,149,6303,161,6300,176,6300,709,6303,724,6311,736,6323,744,6338,747,6871,747,6886,744,6898,736,6906,724,6909,709,6909,176,6906,161,6898,149,6886,141,6871,138xe" filled="true" fillcolor="#000000" stroked="false">
                  <v:path arrowok="t"/>
                  <v:fill type="solid"/>
                </v:shape>
                <v:shape style="position:absolute;left:6367;top:205;width:474;height:407" id="docshape47" coordorigin="6368,206" coordsize="474,407" path="m6605,206l6368,612,6842,612,6605,206xe" filled="true" fillcolor="#ffffff" stroked="false">
                  <v:path arrowok="t"/>
                  <v:fill type="solid"/>
                </v:shape>
                <v:shape style="position:absolute;left:6328;top:608;width:563;height:131" type="#_x0000_t202" id="docshape48"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36;top:219;width:144;height:444" type="#_x0000_t202" id="docshape49"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sz w:val="20"/>
        </w:rPr>
        <w:t>Qualified</w:t>
      </w:r>
      <w:r>
        <w:rPr>
          <w:rFonts w:ascii="Arial"/>
          <w:i/>
          <w:spacing w:val="-14"/>
          <w:sz w:val="20"/>
        </w:rPr>
        <w:t> </w:t>
      </w:r>
      <w:r>
        <w:rPr>
          <w:rFonts w:ascii="Arial"/>
          <w:i/>
          <w:sz w:val="20"/>
        </w:rPr>
        <w:t>dividends</w:t>
      </w:r>
      <w:r>
        <w:rPr>
          <w:rFonts w:ascii="Arial"/>
          <w:i/>
          <w:spacing w:val="-14"/>
          <w:sz w:val="20"/>
        </w:rPr>
        <w:t> </w:t>
      </w:r>
      <w:r>
        <w:rPr>
          <w:rFonts w:ascii="Arial"/>
          <w:i/>
          <w:sz w:val="20"/>
        </w:rPr>
        <w:t>cannot</w:t>
      </w:r>
      <w:r>
        <w:rPr>
          <w:rFonts w:ascii="Arial"/>
          <w:i/>
          <w:spacing w:val="-14"/>
          <w:sz w:val="20"/>
        </w:rPr>
        <w:t> </w:t>
      </w:r>
      <w:r>
        <w:rPr>
          <w:rFonts w:ascii="Arial"/>
          <w:i/>
          <w:sz w:val="20"/>
        </w:rPr>
        <w:t>be</w:t>
      </w:r>
      <w:r>
        <w:rPr>
          <w:rFonts w:ascii="Arial"/>
          <w:i/>
          <w:spacing w:val="-14"/>
          <w:sz w:val="20"/>
        </w:rPr>
        <w:t> </w:t>
      </w:r>
      <w:r>
        <w:rPr>
          <w:rFonts w:ascii="Arial"/>
          <w:i/>
          <w:sz w:val="20"/>
        </w:rPr>
        <w:t>less</w:t>
      </w:r>
      <w:r>
        <w:rPr>
          <w:rFonts w:ascii="Arial"/>
          <w:i/>
          <w:spacing w:val="-14"/>
          <w:sz w:val="20"/>
        </w:rPr>
        <w:t> </w:t>
      </w:r>
      <w:r>
        <w:rPr>
          <w:rFonts w:ascii="Arial"/>
          <w:i/>
          <w:sz w:val="20"/>
        </w:rPr>
        <w:t>than</w:t>
      </w:r>
      <w:r>
        <w:rPr>
          <w:rFonts w:ascii="Arial"/>
          <w:i/>
          <w:spacing w:val="-14"/>
          <w:sz w:val="20"/>
        </w:rPr>
        <w:t> </w:t>
      </w:r>
      <w:r>
        <w:rPr>
          <w:rFonts w:ascii="Arial"/>
          <w:i/>
          <w:sz w:val="20"/>
        </w:rPr>
        <w:t>zero.</w:t>
      </w:r>
      <w:r>
        <w:rPr>
          <w:rFonts w:ascii="Arial"/>
          <w:i/>
          <w:spacing w:val="-14"/>
          <w:sz w:val="20"/>
        </w:rPr>
        <w:t> </w:t>
      </w:r>
      <w:r>
        <w:rPr>
          <w:rFonts w:ascii="Arial"/>
          <w:i/>
          <w:sz w:val="20"/>
        </w:rPr>
        <w:t>Do not</w:t>
      </w:r>
      <w:r>
        <w:rPr>
          <w:rFonts w:ascii="Arial"/>
          <w:i/>
          <w:spacing w:val="-1"/>
          <w:sz w:val="20"/>
        </w:rPr>
        <w:t> </w:t>
      </w:r>
      <w:r>
        <w:rPr>
          <w:rFonts w:ascii="Arial"/>
          <w:i/>
          <w:sz w:val="20"/>
        </w:rPr>
        <w:t>include</w:t>
      </w:r>
      <w:r>
        <w:rPr>
          <w:rFonts w:ascii="Arial"/>
          <w:i/>
          <w:spacing w:val="-1"/>
          <w:sz w:val="20"/>
        </w:rPr>
        <w:t> </w:t>
      </w:r>
      <w:r>
        <w:rPr>
          <w:rFonts w:ascii="Arial"/>
          <w:i/>
          <w:sz w:val="20"/>
        </w:rPr>
        <w:t>an</w:t>
      </w:r>
      <w:r>
        <w:rPr>
          <w:rFonts w:ascii="Arial"/>
          <w:i/>
          <w:spacing w:val="-1"/>
          <w:sz w:val="20"/>
        </w:rPr>
        <w:t> </w:t>
      </w:r>
      <w:r>
        <w:rPr>
          <w:rFonts w:ascii="Arial"/>
          <w:i/>
          <w:sz w:val="20"/>
        </w:rPr>
        <w:t>amount</w:t>
      </w:r>
      <w:r>
        <w:rPr>
          <w:rFonts w:ascii="Arial"/>
          <w:i/>
          <w:spacing w:val="-1"/>
          <w:sz w:val="20"/>
        </w:rPr>
        <w:t> </w:t>
      </w:r>
      <w:r>
        <w:rPr>
          <w:rFonts w:ascii="Arial"/>
          <w:i/>
          <w:sz w:val="20"/>
        </w:rPr>
        <w:t>less</w:t>
      </w:r>
      <w:r>
        <w:rPr>
          <w:rFonts w:ascii="Arial"/>
          <w:i/>
          <w:spacing w:val="-1"/>
          <w:sz w:val="20"/>
        </w:rPr>
        <w:t> </w:t>
      </w:r>
      <w:r>
        <w:rPr>
          <w:rFonts w:ascii="Arial"/>
          <w:i/>
          <w:sz w:val="20"/>
        </w:rPr>
        <w:t>than</w:t>
      </w:r>
      <w:r>
        <w:rPr>
          <w:rFonts w:ascii="Arial"/>
          <w:i/>
          <w:spacing w:val="-1"/>
          <w:sz w:val="20"/>
        </w:rPr>
        <w:t> </w:t>
      </w:r>
      <w:r>
        <w:rPr>
          <w:rFonts w:ascii="Arial"/>
          <w:i/>
          <w:sz w:val="20"/>
        </w:rPr>
        <w:t>zero</w:t>
      </w:r>
      <w:r>
        <w:rPr>
          <w:rFonts w:ascii="Arial"/>
          <w:i/>
          <w:spacing w:val="-1"/>
          <w:sz w:val="20"/>
        </w:rPr>
        <w:t> </w:t>
      </w:r>
      <w:r>
        <w:rPr>
          <w:rFonts w:ascii="Arial"/>
          <w:i/>
          <w:sz w:val="20"/>
        </w:rPr>
        <w:t>in</w:t>
      </w:r>
      <w:r>
        <w:rPr>
          <w:rFonts w:ascii="Arial"/>
          <w:i/>
          <w:spacing w:val="-1"/>
          <w:sz w:val="20"/>
        </w:rPr>
        <w:t> </w:t>
      </w:r>
      <w:r>
        <w:rPr>
          <w:rFonts w:ascii="Arial"/>
          <w:i/>
          <w:sz w:val="20"/>
        </w:rPr>
        <w:t>box</w:t>
      </w:r>
      <w:r>
        <w:rPr>
          <w:rFonts w:ascii="Arial"/>
          <w:i/>
          <w:spacing w:val="-1"/>
          <w:sz w:val="20"/>
        </w:rPr>
        <w:t> </w:t>
      </w:r>
      <w:r>
        <w:rPr>
          <w:rFonts w:ascii="Arial"/>
          <w:i/>
          <w:sz w:val="20"/>
        </w:rPr>
        <w:t>1b.</w:t>
      </w:r>
    </w:p>
    <w:p>
      <w:pPr>
        <w:pStyle w:val="BodyText"/>
        <w:spacing w:before="130"/>
        <w:ind w:left="0"/>
        <w:rPr>
          <w:rFonts w:ascii="Arial"/>
          <w:i/>
        </w:rPr>
      </w:pPr>
    </w:p>
    <w:p>
      <w:pPr>
        <w:pStyle w:val="Heading2"/>
        <w:spacing w:before="1"/>
      </w:pPr>
      <w:r>
        <w:rPr>
          <w:w w:val="85"/>
        </w:rPr>
        <w:t>Box</w:t>
      </w:r>
      <w:r>
        <w:rPr>
          <w:spacing w:val="-3"/>
          <w:w w:val="85"/>
        </w:rPr>
        <w:t> </w:t>
      </w:r>
      <w:r>
        <w:rPr>
          <w:w w:val="85"/>
        </w:rPr>
        <w:t>2a.</w:t>
      </w:r>
      <w:r>
        <w:rPr>
          <w:spacing w:val="-2"/>
          <w:w w:val="85"/>
        </w:rPr>
        <w:t> </w:t>
      </w:r>
      <w:r>
        <w:rPr>
          <w:w w:val="85"/>
        </w:rPr>
        <w:t>Total</w:t>
      </w:r>
      <w:r>
        <w:rPr>
          <w:spacing w:val="-3"/>
          <w:w w:val="85"/>
        </w:rPr>
        <w:t> </w:t>
      </w:r>
      <w:r>
        <w:rPr>
          <w:w w:val="85"/>
        </w:rPr>
        <w:t>Capital</w:t>
      </w:r>
      <w:r>
        <w:rPr>
          <w:spacing w:val="-2"/>
          <w:w w:val="85"/>
        </w:rPr>
        <w:t> </w:t>
      </w:r>
      <w:r>
        <w:rPr>
          <w:w w:val="85"/>
        </w:rPr>
        <w:t>Gain</w:t>
      </w:r>
      <w:r>
        <w:rPr>
          <w:spacing w:val="-2"/>
          <w:w w:val="85"/>
        </w:rPr>
        <w:t> Distr.</w:t>
      </w:r>
    </w:p>
    <w:p>
      <w:pPr>
        <w:pStyle w:val="BodyText"/>
        <w:spacing w:line="232" w:lineRule="auto" w:before="27"/>
        <w:ind w:left="119"/>
      </w:pPr>
      <w:r>
        <w:rPr/>
        <w:t>Enter</w:t>
      </w:r>
      <w:r>
        <w:rPr>
          <w:spacing w:val="-14"/>
        </w:rPr>
        <w:t> </w:t>
      </w:r>
      <w:r>
        <w:rPr/>
        <w:t>total</w:t>
      </w:r>
      <w:r>
        <w:rPr>
          <w:spacing w:val="-14"/>
        </w:rPr>
        <w:t> </w:t>
      </w:r>
      <w:r>
        <w:rPr/>
        <w:t>capital</w:t>
      </w:r>
      <w:r>
        <w:rPr>
          <w:spacing w:val="-14"/>
        </w:rPr>
        <w:t> </w:t>
      </w:r>
      <w:r>
        <w:rPr/>
        <w:t>gain</w:t>
      </w:r>
      <w:r>
        <w:rPr>
          <w:spacing w:val="-14"/>
        </w:rPr>
        <w:t> </w:t>
      </w:r>
      <w:r>
        <w:rPr/>
        <w:t>distributions</w:t>
      </w:r>
      <w:r>
        <w:rPr>
          <w:spacing w:val="-14"/>
        </w:rPr>
        <w:t> </w:t>
      </w:r>
      <w:r>
        <w:rPr/>
        <w:t>(long-term).</w:t>
      </w:r>
      <w:r>
        <w:rPr>
          <w:spacing w:val="-14"/>
        </w:rPr>
        <w:t> </w:t>
      </w:r>
      <w:r>
        <w:rPr/>
        <w:t>Include</w:t>
      </w:r>
      <w:r>
        <w:rPr>
          <w:spacing w:val="-14"/>
        </w:rPr>
        <w:t> </w:t>
      </w:r>
      <w:r>
        <w:rPr/>
        <w:t>all amounts shown in boxes </w:t>
      </w:r>
      <w:hyperlink w:history="true" w:anchor="_bookmark9">
        <w:r>
          <w:rPr>
            <w:color w:val="0056A2"/>
            <w:u w:val="single" w:color="0055A1"/>
          </w:rPr>
          <w:t>2b</w:t>
        </w:r>
      </w:hyperlink>
      <w:r>
        <w:rPr/>
        <w:t>, </w:t>
      </w:r>
      <w:hyperlink w:history="true" w:anchor="_bookmark10">
        <w:r>
          <w:rPr>
            <w:color w:val="0056A2"/>
            <w:u w:val="single" w:color="0055A1"/>
          </w:rPr>
          <w:t>2c</w:t>
        </w:r>
      </w:hyperlink>
      <w:r>
        <w:rPr/>
        <w:t>, </w:t>
      </w:r>
      <w:hyperlink w:history="true" w:anchor="_bookmark11">
        <w:r>
          <w:rPr>
            <w:color w:val="0056A2"/>
            <w:u w:val="single" w:color="0055A1"/>
          </w:rPr>
          <w:t>2d</w:t>
        </w:r>
      </w:hyperlink>
      <w:r>
        <w:rPr/>
        <w:t>, and </w:t>
      </w:r>
      <w:hyperlink w:history="true" w:anchor="_bookmark13">
        <w:r>
          <w:rPr>
            <w:color w:val="0056A2"/>
            <w:u w:val="single" w:color="0055A1"/>
          </w:rPr>
          <w:t>2f</w:t>
        </w:r>
      </w:hyperlink>
      <w:r>
        <w:rPr/>
        <w:t>.</w:t>
      </w:r>
    </w:p>
    <w:p>
      <w:pPr>
        <w:spacing w:line="232" w:lineRule="auto" w:before="101"/>
        <w:ind w:left="815" w:right="297"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4272">
                <wp:simplePos x="0" y="0"/>
                <wp:positionH relativeFrom="page">
                  <wp:posOffset>4000500</wp:posOffset>
                </wp:positionH>
                <wp:positionV relativeFrom="paragraph">
                  <wp:posOffset>86046</wp:posOffset>
                </wp:positionV>
                <wp:extent cx="387350" cy="38735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387350" cy="387350"/>
                          <a:chExt cx="387350" cy="387350"/>
                        </a:xfrm>
                      </wpg:grpSpPr>
                      <wps:wsp>
                        <wps:cNvPr id="52" name="Graphic 52"/>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54" name="Textbox 54"/>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6.775334pt;width:30.5pt;height:30.5pt;mso-position-horizontal-relative:page;mso-position-vertical-relative:paragraph;z-index:15734272" id="docshapegroup50" coordorigin="6300,136" coordsize="610,610">
                <v:shape style="position:absolute;left:6300;top:135;width:610;height:610" id="docshape51" coordorigin="6300,136" coordsize="610,610" path="m6871,136l6338,136,6323,138,6311,147,6303,159,6300,174,6300,707,6303,721,6311,734,6323,742,6338,745,6871,745,6886,742,6898,734,6906,721,6909,707,6909,174,6906,159,6898,147,6886,138,6871,136xe" filled="true" fillcolor="#000000" stroked="false">
                  <v:path arrowok="t"/>
                  <v:fill type="solid"/>
                </v:shape>
                <v:shape style="position:absolute;left:6350;top:186;width:508;height:508" id="docshape52" coordorigin="6351,186" coordsize="508,508" path="m6605,186l6537,195,6477,221,6425,261,6385,312,6360,373,6351,440,6360,508,6385,568,6425,620,6477,659,6537,685,6605,694,6672,685,6733,659,6784,620,6824,568,6849,508,6858,440,6849,373,6824,312,6784,261,6733,221,6672,195,6605,186xe" filled="true" fillcolor="#ffffff" stroked="false">
                  <v:path arrowok="t"/>
                  <v:fill type="solid"/>
                </v:shape>
                <v:shape style="position:absolute;left:6300;top:135;width:610;height:610" type="#_x0000_t202" id="docshape53"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sz w:val="20"/>
        </w:rPr>
        <w:t>For</w:t>
      </w:r>
      <w:r>
        <w:rPr>
          <w:rFonts w:ascii="Arial"/>
          <w:i/>
          <w:spacing w:val="-14"/>
          <w:sz w:val="20"/>
        </w:rPr>
        <w:t> </w:t>
      </w:r>
      <w:r>
        <w:rPr>
          <w:rFonts w:ascii="Arial"/>
          <w:i/>
          <w:sz w:val="20"/>
        </w:rPr>
        <w:t>more</w:t>
      </w:r>
      <w:r>
        <w:rPr>
          <w:rFonts w:ascii="Arial"/>
          <w:i/>
          <w:spacing w:val="-14"/>
          <w:sz w:val="20"/>
        </w:rPr>
        <w:t> </w:t>
      </w:r>
      <w:r>
        <w:rPr>
          <w:rFonts w:ascii="Arial"/>
          <w:i/>
          <w:sz w:val="20"/>
        </w:rPr>
        <w:t>information</w:t>
      </w:r>
      <w:r>
        <w:rPr>
          <w:rFonts w:ascii="Arial"/>
          <w:i/>
          <w:spacing w:val="-14"/>
          <w:sz w:val="20"/>
        </w:rPr>
        <w:t> </w:t>
      </w:r>
      <w:r>
        <w:rPr>
          <w:rFonts w:ascii="Arial"/>
          <w:i/>
          <w:sz w:val="20"/>
        </w:rPr>
        <w:t>about</w:t>
      </w:r>
      <w:r>
        <w:rPr>
          <w:rFonts w:ascii="Arial"/>
          <w:i/>
          <w:spacing w:val="-14"/>
          <w:sz w:val="20"/>
        </w:rPr>
        <w:t> </w:t>
      </w:r>
      <w:r>
        <w:rPr>
          <w:rFonts w:ascii="Arial"/>
          <w:i/>
          <w:sz w:val="20"/>
        </w:rPr>
        <w:t>reporting</w:t>
      </w:r>
      <w:r>
        <w:rPr>
          <w:rFonts w:ascii="Arial"/>
          <w:i/>
          <w:spacing w:val="-14"/>
          <w:sz w:val="20"/>
        </w:rPr>
        <w:t> </w:t>
      </w:r>
      <w:r>
        <w:rPr>
          <w:rFonts w:ascii="Arial"/>
          <w:i/>
          <w:sz w:val="20"/>
        </w:rPr>
        <w:t>amounts</w:t>
      </w:r>
      <w:r>
        <w:rPr>
          <w:rFonts w:ascii="Arial"/>
          <w:i/>
          <w:spacing w:val="-14"/>
          <w:sz w:val="20"/>
        </w:rPr>
        <w:t> </w:t>
      </w:r>
      <w:r>
        <w:rPr>
          <w:rFonts w:ascii="Arial"/>
          <w:i/>
          <w:sz w:val="20"/>
        </w:rPr>
        <w:t>in boxes 2b, 2c, 2d, and 2f, see section 1(h).</w:t>
      </w:r>
    </w:p>
    <w:p>
      <w:pPr>
        <w:pStyle w:val="BodyText"/>
        <w:spacing w:before="131"/>
        <w:ind w:left="0"/>
        <w:rPr>
          <w:rFonts w:ascii="Arial"/>
          <w:i/>
        </w:rPr>
      </w:pPr>
    </w:p>
    <w:p>
      <w:pPr>
        <w:pStyle w:val="Heading2"/>
        <w:spacing w:before="0"/>
      </w:pPr>
      <w:r>
        <w:rPr>
          <w:w w:val="85"/>
        </w:rPr>
        <w:t>Box</w:t>
      </w:r>
      <w:r>
        <w:rPr>
          <w:spacing w:val="-9"/>
        </w:rPr>
        <w:t> </w:t>
      </w:r>
      <w:r>
        <w:rPr>
          <w:w w:val="85"/>
        </w:rPr>
        <w:t>2b.</w:t>
      </w:r>
      <w:r>
        <w:rPr>
          <w:spacing w:val="-9"/>
        </w:rPr>
        <w:t> </w:t>
      </w:r>
      <w:r>
        <w:rPr>
          <w:w w:val="85"/>
        </w:rPr>
        <w:t>Unrecap.</w:t>
      </w:r>
      <w:r>
        <w:rPr>
          <w:spacing w:val="-9"/>
        </w:rPr>
        <w:t> </w:t>
      </w:r>
      <w:r>
        <w:rPr>
          <w:w w:val="85"/>
        </w:rPr>
        <w:t>Sec.</w:t>
      </w:r>
      <w:r>
        <w:rPr>
          <w:spacing w:val="-9"/>
        </w:rPr>
        <w:t> </w:t>
      </w:r>
      <w:r>
        <w:rPr>
          <w:w w:val="85"/>
        </w:rPr>
        <w:t>1250</w:t>
      </w:r>
      <w:r>
        <w:rPr>
          <w:spacing w:val="-9"/>
        </w:rPr>
        <w:t> </w:t>
      </w:r>
      <w:r>
        <w:rPr>
          <w:spacing w:val="-4"/>
          <w:w w:val="85"/>
        </w:rPr>
        <w:t>Gain</w:t>
      </w:r>
    </w:p>
    <w:p>
      <w:pPr>
        <w:pStyle w:val="BodyText"/>
        <w:spacing w:line="232" w:lineRule="auto" w:before="27"/>
        <w:ind w:left="119"/>
      </w:pPr>
      <w:r>
        <w:rPr/>
        <w:t>Enter any amount included in </w:t>
      </w:r>
      <w:hyperlink w:history="true" w:anchor="_bookmark8">
        <w:r>
          <w:rPr>
            <w:color w:val="0056A2"/>
            <w:u w:val="single" w:color="0055A1"/>
          </w:rPr>
          <w:t>box 2a</w:t>
        </w:r>
      </w:hyperlink>
      <w:r>
        <w:rPr>
          <w:color w:val="0056A2"/>
        </w:rPr>
        <w:t> </w:t>
      </w:r>
      <w:r>
        <w:rPr/>
        <w:t>that is an unrecaptured</w:t>
      </w:r>
      <w:r>
        <w:rPr>
          <w:spacing w:val="-14"/>
        </w:rPr>
        <w:t> </w:t>
      </w:r>
      <w:r>
        <w:rPr/>
        <w:t>section</w:t>
      </w:r>
      <w:r>
        <w:rPr>
          <w:spacing w:val="-14"/>
        </w:rPr>
        <w:t> </w:t>
      </w:r>
      <w:r>
        <w:rPr/>
        <w:t>1250</w:t>
      </w:r>
      <w:r>
        <w:rPr>
          <w:spacing w:val="-14"/>
        </w:rPr>
        <w:t> </w:t>
      </w:r>
      <w:r>
        <w:rPr/>
        <w:t>gain</w:t>
      </w:r>
      <w:r>
        <w:rPr>
          <w:spacing w:val="-14"/>
        </w:rPr>
        <w:t> </w:t>
      </w:r>
      <w:r>
        <w:rPr/>
        <w:t>from</w:t>
      </w:r>
      <w:r>
        <w:rPr>
          <w:spacing w:val="-14"/>
        </w:rPr>
        <w:t> </w:t>
      </w:r>
      <w:r>
        <w:rPr/>
        <w:t>certain</w:t>
      </w:r>
      <w:r>
        <w:rPr>
          <w:spacing w:val="-14"/>
        </w:rPr>
        <w:t> </w:t>
      </w:r>
      <w:r>
        <w:rPr/>
        <w:t>depreciable real property.</w:t>
      </w:r>
    </w:p>
    <w:p>
      <w:pPr>
        <w:pStyle w:val="Heading2"/>
        <w:spacing w:before="126"/>
        <w:ind w:left="119"/>
      </w:pPr>
      <w:r>
        <w:rPr>
          <w:w w:val="85"/>
        </w:rPr>
        <w:t>Box</w:t>
      </w:r>
      <w:r>
        <w:rPr>
          <w:spacing w:val="-11"/>
        </w:rPr>
        <w:t> </w:t>
      </w:r>
      <w:r>
        <w:rPr>
          <w:w w:val="85"/>
        </w:rPr>
        <w:t>2c.</w:t>
      </w:r>
      <w:r>
        <w:rPr>
          <w:spacing w:val="-10"/>
        </w:rPr>
        <w:t> </w:t>
      </w:r>
      <w:r>
        <w:rPr>
          <w:w w:val="85"/>
        </w:rPr>
        <w:t>Section</w:t>
      </w:r>
      <w:r>
        <w:rPr>
          <w:spacing w:val="-10"/>
        </w:rPr>
        <w:t> </w:t>
      </w:r>
      <w:r>
        <w:rPr>
          <w:w w:val="85"/>
        </w:rPr>
        <w:t>1202</w:t>
      </w:r>
      <w:r>
        <w:rPr>
          <w:spacing w:val="-10"/>
        </w:rPr>
        <w:t> </w:t>
      </w:r>
      <w:r>
        <w:rPr>
          <w:spacing w:val="-4"/>
          <w:w w:val="85"/>
        </w:rPr>
        <w:t>Gain</w:t>
      </w:r>
    </w:p>
    <w:p>
      <w:pPr>
        <w:spacing w:line="232" w:lineRule="auto" w:before="27"/>
        <w:ind w:left="119" w:right="0" w:firstLine="0"/>
        <w:jc w:val="left"/>
        <w:rPr>
          <w:sz w:val="20"/>
        </w:rPr>
      </w:pPr>
      <w:r>
        <w:rPr>
          <w:sz w:val="20"/>
        </w:rPr>
        <w:t>Enter</w:t>
      </w:r>
      <w:r>
        <w:rPr>
          <w:spacing w:val="-13"/>
          <w:sz w:val="20"/>
        </w:rPr>
        <w:t> </w:t>
      </w:r>
      <w:r>
        <w:rPr>
          <w:sz w:val="20"/>
        </w:rPr>
        <w:t>any</w:t>
      </w:r>
      <w:r>
        <w:rPr>
          <w:spacing w:val="-13"/>
          <w:sz w:val="20"/>
        </w:rPr>
        <w:t> </w:t>
      </w:r>
      <w:r>
        <w:rPr>
          <w:sz w:val="20"/>
        </w:rPr>
        <w:t>amount</w:t>
      </w:r>
      <w:r>
        <w:rPr>
          <w:spacing w:val="-13"/>
          <w:sz w:val="20"/>
        </w:rPr>
        <w:t> </w:t>
      </w:r>
      <w:r>
        <w:rPr>
          <w:sz w:val="20"/>
        </w:rPr>
        <w:t>included</w:t>
      </w:r>
      <w:r>
        <w:rPr>
          <w:spacing w:val="-13"/>
          <w:sz w:val="20"/>
        </w:rPr>
        <w:t> </w:t>
      </w:r>
      <w:r>
        <w:rPr>
          <w:sz w:val="20"/>
        </w:rPr>
        <w:t>in</w:t>
      </w:r>
      <w:r>
        <w:rPr>
          <w:spacing w:val="-13"/>
          <w:sz w:val="20"/>
        </w:rPr>
        <w:t> </w:t>
      </w:r>
      <w:hyperlink w:history="true" w:anchor="_bookmark8">
        <w:r>
          <w:rPr>
            <w:color w:val="0056A2"/>
            <w:sz w:val="20"/>
            <w:u w:val="single" w:color="0055A1"/>
          </w:rPr>
          <w:t>box</w:t>
        </w:r>
        <w:r>
          <w:rPr>
            <w:color w:val="0056A2"/>
            <w:spacing w:val="-13"/>
            <w:sz w:val="20"/>
            <w:u w:val="single" w:color="0055A1"/>
          </w:rPr>
          <w:t> </w:t>
        </w:r>
        <w:r>
          <w:rPr>
            <w:color w:val="0056A2"/>
            <w:sz w:val="20"/>
            <w:u w:val="single" w:color="0055A1"/>
          </w:rPr>
          <w:t>2a</w:t>
        </w:r>
      </w:hyperlink>
      <w:r>
        <w:rPr>
          <w:color w:val="0056A2"/>
          <w:spacing w:val="-13"/>
          <w:sz w:val="20"/>
        </w:rPr>
        <w:t> </w:t>
      </w:r>
      <w:r>
        <w:rPr>
          <w:sz w:val="20"/>
        </w:rPr>
        <w:t>that</w:t>
      </w:r>
      <w:r>
        <w:rPr>
          <w:spacing w:val="-13"/>
          <w:sz w:val="20"/>
        </w:rPr>
        <w:t> </w:t>
      </w:r>
      <w:r>
        <w:rPr>
          <w:sz w:val="20"/>
        </w:rPr>
        <w:t>is</w:t>
      </w:r>
      <w:r>
        <w:rPr>
          <w:spacing w:val="-13"/>
          <w:sz w:val="20"/>
        </w:rPr>
        <w:t> </w:t>
      </w:r>
      <w:r>
        <w:rPr>
          <w:sz w:val="20"/>
        </w:rPr>
        <w:t>a</w:t>
      </w:r>
      <w:r>
        <w:rPr>
          <w:spacing w:val="-13"/>
          <w:sz w:val="20"/>
        </w:rPr>
        <w:t> </w:t>
      </w:r>
      <w:r>
        <w:rPr>
          <w:sz w:val="20"/>
        </w:rPr>
        <w:t>section</w:t>
      </w:r>
      <w:r>
        <w:rPr>
          <w:spacing w:val="-13"/>
          <w:sz w:val="20"/>
        </w:rPr>
        <w:t> </w:t>
      </w:r>
      <w:r>
        <w:rPr>
          <w:sz w:val="20"/>
        </w:rPr>
        <w:t>1202 gain from certain qualified small business stock. See </w:t>
      </w:r>
      <w:hyperlink w:history="true" w:anchor="_bookmark6">
        <w:r>
          <w:rPr>
            <w:rFonts w:ascii="Arial" w:hAnsi="Arial"/>
            <w:i/>
            <w:color w:val="0056A2"/>
            <w:sz w:val="20"/>
            <w:u w:val="single" w:color="0055A1"/>
          </w:rPr>
          <w:t>Qualified small business stock—RICs</w:t>
        </w:r>
      </w:hyperlink>
      <w:r>
        <w:rPr>
          <w:sz w:val="20"/>
        </w:rPr>
        <w:t>, earlier.</w:t>
      </w:r>
    </w:p>
    <w:p>
      <w:pPr>
        <w:pStyle w:val="Heading2"/>
      </w:pPr>
      <w:r>
        <w:rPr>
          <w:w w:val="85"/>
        </w:rPr>
        <w:t>Box</w:t>
      </w:r>
      <w:r>
        <w:rPr>
          <w:spacing w:val="5"/>
        </w:rPr>
        <w:t> </w:t>
      </w:r>
      <w:r>
        <w:rPr>
          <w:w w:val="85"/>
        </w:rPr>
        <w:t>2d.</w:t>
      </w:r>
      <w:r>
        <w:rPr>
          <w:spacing w:val="5"/>
        </w:rPr>
        <w:t> </w:t>
      </w:r>
      <w:r>
        <w:rPr>
          <w:w w:val="85"/>
        </w:rPr>
        <w:t>Collectibles</w:t>
      </w:r>
      <w:r>
        <w:rPr>
          <w:spacing w:val="6"/>
        </w:rPr>
        <w:t> </w:t>
      </w:r>
      <w:r>
        <w:rPr>
          <w:w w:val="85"/>
        </w:rPr>
        <w:t>(28%)</w:t>
      </w:r>
      <w:r>
        <w:rPr>
          <w:spacing w:val="5"/>
        </w:rPr>
        <w:t> </w:t>
      </w:r>
      <w:r>
        <w:rPr>
          <w:spacing w:val="-4"/>
          <w:w w:val="85"/>
        </w:rPr>
        <w:t>Gain</w:t>
      </w:r>
    </w:p>
    <w:p>
      <w:pPr>
        <w:pStyle w:val="BodyText"/>
        <w:spacing w:line="232" w:lineRule="auto" w:before="27"/>
        <w:ind w:right="227"/>
      </w:pPr>
      <w:r>
        <w:rPr/>
        <w:t>Enter</w:t>
      </w:r>
      <w:r>
        <w:rPr>
          <w:spacing w:val="-13"/>
        </w:rPr>
        <w:t> </w:t>
      </w:r>
      <w:r>
        <w:rPr/>
        <w:t>any</w:t>
      </w:r>
      <w:r>
        <w:rPr>
          <w:spacing w:val="-13"/>
        </w:rPr>
        <w:t> </w:t>
      </w:r>
      <w:r>
        <w:rPr/>
        <w:t>amount</w:t>
      </w:r>
      <w:r>
        <w:rPr>
          <w:spacing w:val="-13"/>
        </w:rPr>
        <w:t> </w:t>
      </w:r>
      <w:r>
        <w:rPr/>
        <w:t>included</w:t>
      </w:r>
      <w:r>
        <w:rPr>
          <w:spacing w:val="-13"/>
        </w:rPr>
        <w:t> </w:t>
      </w:r>
      <w:r>
        <w:rPr/>
        <w:t>in</w:t>
      </w:r>
      <w:r>
        <w:rPr>
          <w:spacing w:val="-14"/>
        </w:rPr>
        <w:t> </w:t>
      </w:r>
      <w:hyperlink w:history="true" w:anchor="_bookmark8">
        <w:r>
          <w:rPr>
            <w:color w:val="0056A2"/>
            <w:u w:val="single" w:color="0055A1"/>
          </w:rPr>
          <w:t>box</w:t>
        </w:r>
        <w:r>
          <w:rPr>
            <w:color w:val="0056A2"/>
            <w:spacing w:val="-13"/>
            <w:u w:val="single" w:color="0055A1"/>
          </w:rPr>
          <w:t> </w:t>
        </w:r>
        <w:r>
          <w:rPr>
            <w:color w:val="0056A2"/>
            <w:u w:val="single" w:color="0055A1"/>
          </w:rPr>
          <w:t>2a</w:t>
        </w:r>
      </w:hyperlink>
      <w:r>
        <w:rPr>
          <w:color w:val="0056A2"/>
          <w:spacing w:val="-13"/>
        </w:rPr>
        <w:t> </w:t>
      </w:r>
      <w:r>
        <w:rPr/>
        <w:t>that</w:t>
      </w:r>
      <w:r>
        <w:rPr>
          <w:spacing w:val="-13"/>
        </w:rPr>
        <w:t> </w:t>
      </w:r>
      <w:r>
        <w:rPr/>
        <w:t>is</w:t>
      </w:r>
      <w:r>
        <w:rPr>
          <w:spacing w:val="-13"/>
        </w:rPr>
        <w:t> </w:t>
      </w:r>
      <w:r>
        <w:rPr/>
        <w:t>a</w:t>
      </w:r>
      <w:r>
        <w:rPr>
          <w:spacing w:val="-13"/>
        </w:rPr>
        <w:t> </w:t>
      </w:r>
      <w:r>
        <w:rPr/>
        <w:t>28%</w:t>
      </w:r>
      <w:r>
        <w:rPr>
          <w:spacing w:val="-13"/>
        </w:rPr>
        <w:t> </w:t>
      </w:r>
      <w:r>
        <w:rPr/>
        <w:t>rate gain from sales or exchanges of collectibles.</w:t>
      </w:r>
    </w:p>
    <w:p>
      <w:pPr>
        <w:pStyle w:val="Heading2"/>
      </w:pPr>
      <w:r>
        <w:rPr>
          <w:w w:val="85"/>
        </w:rPr>
        <w:t>Box</w:t>
      </w:r>
      <w:r>
        <w:rPr>
          <w:spacing w:val="-1"/>
        </w:rPr>
        <w:t> </w:t>
      </w:r>
      <w:r>
        <w:rPr>
          <w:w w:val="85"/>
        </w:rPr>
        <w:t>2e.</w:t>
      </w:r>
      <w:r>
        <w:rPr>
          <w:spacing w:val="-1"/>
        </w:rPr>
        <w:t> </w:t>
      </w:r>
      <w:r>
        <w:rPr>
          <w:w w:val="85"/>
        </w:rPr>
        <w:t>Section</w:t>
      </w:r>
      <w:r>
        <w:rPr>
          <w:spacing w:val="-1"/>
        </w:rPr>
        <w:t> </w:t>
      </w:r>
      <w:r>
        <w:rPr>
          <w:w w:val="85"/>
        </w:rPr>
        <w:t>897</w:t>
      </w:r>
      <w:r>
        <w:rPr>
          <w:spacing w:val="-1"/>
        </w:rPr>
        <w:t> </w:t>
      </w:r>
      <w:r>
        <w:rPr>
          <w:w w:val="85"/>
        </w:rPr>
        <w:t>Ordinary</w:t>
      </w:r>
      <w:r>
        <w:rPr>
          <w:spacing w:val="-1"/>
        </w:rPr>
        <w:t> </w:t>
      </w:r>
      <w:r>
        <w:rPr>
          <w:spacing w:val="-2"/>
          <w:w w:val="85"/>
        </w:rPr>
        <w:t>Dividends</w:t>
      </w:r>
    </w:p>
    <w:p>
      <w:pPr>
        <w:pStyle w:val="BodyText"/>
        <w:spacing w:line="232" w:lineRule="auto" w:before="27"/>
        <w:ind w:right="391"/>
        <w:jc w:val="both"/>
      </w:pPr>
      <w:r>
        <w:rPr/>
        <w:t>Enter</w:t>
      </w:r>
      <w:r>
        <w:rPr>
          <w:spacing w:val="-13"/>
        </w:rPr>
        <w:t> </w:t>
      </w:r>
      <w:r>
        <w:rPr/>
        <w:t>any</w:t>
      </w:r>
      <w:r>
        <w:rPr>
          <w:spacing w:val="-13"/>
        </w:rPr>
        <w:t> </w:t>
      </w:r>
      <w:r>
        <w:rPr/>
        <w:t>amount</w:t>
      </w:r>
      <w:r>
        <w:rPr>
          <w:spacing w:val="-13"/>
        </w:rPr>
        <w:t> </w:t>
      </w:r>
      <w:r>
        <w:rPr/>
        <w:t>included</w:t>
      </w:r>
      <w:r>
        <w:rPr>
          <w:spacing w:val="-13"/>
        </w:rPr>
        <w:t> </w:t>
      </w:r>
      <w:r>
        <w:rPr/>
        <w:t>in</w:t>
      </w:r>
      <w:r>
        <w:rPr>
          <w:spacing w:val="-14"/>
        </w:rPr>
        <w:t> </w:t>
      </w:r>
      <w:hyperlink w:history="true" w:anchor="_bookmark14">
        <w:r>
          <w:rPr>
            <w:color w:val="0056A2"/>
            <w:u w:val="single" w:color="0055A1"/>
          </w:rPr>
          <w:t>box</w:t>
        </w:r>
        <w:r>
          <w:rPr>
            <w:color w:val="0056A2"/>
            <w:spacing w:val="-13"/>
            <w:u w:val="single" w:color="0055A1"/>
          </w:rPr>
          <w:t> </w:t>
        </w:r>
        <w:r>
          <w:rPr>
            <w:color w:val="0056A2"/>
            <w:u w:val="single" w:color="0055A1"/>
          </w:rPr>
          <w:t>1a</w:t>
        </w:r>
      </w:hyperlink>
      <w:r>
        <w:rPr>
          <w:color w:val="0056A2"/>
          <w:spacing w:val="-13"/>
        </w:rPr>
        <w:t> </w:t>
      </w:r>
      <w:r>
        <w:rPr/>
        <w:t>that</w:t>
      </w:r>
      <w:r>
        <w:rPr>
          <w:spacing w:val="-13"/>
        </w:rPr>
        <w:t> </w:t>
      </w:r>
      <w:r>
        <w:rPr/>
        <w:t>is</w:t>
      </w:r>
      <w:r>
        <w:rPr>
          <w:spacing w:val="-13"/>
        </w:rPr>
        <w:t> </w:t>
      </w:r>
      <w:r>
        <w:rPr/>
        <w:t>section</w:t>
      </w:r>
      <w:r>
        <w:rPr>
          <w:spacing w:val="-13"/>
        </w:rPr>
        <w:t> </w:t>
      </w:r>
      <w:r>
        <w:rPr/>
        <w:t>897 gain</w:t>
      </w:r>
      <w:r>
        <w:rPr>
          <w:spacing w:val="-13"/>
        </w:rPr>
        <w:t> </w:t>
      </w:r>
      <w:r>
        <w:rPr/>
        <w:t>from</w:t>
      </w:r>
      <w:r>
        <w:rPr>
          <w:spacing w:val="-13"/>
        </w:rPr>
        <w:t> </w:t>
      </w:r>
      <w:r>
        <w:rPr/>
        <w:t>dispositions</w:t>
      </w:r>
      <w:r>
        <w:rPr>
          <w:spacing w:val="-13"/>
        </w:rPr>
        <w:t> </w:t>
      </w:r>
      <w:r>
        <w:rPr/>
        <w:t>of</w:t>
      </w:r>
      <w:r>
        <w:rPr>
          <w:spacing w:val="-13"/>
        </w:rPr>
        <w:t> </w:t>
      </w:r>
      <w:r>
        <w:rPr/>
        <w:t>USRPI.</w:t>
      </w:r>
      <w:r>
        <w:rPr>
          <w:spacing w:val="-13"/>
        </w:rPr>
        <w:t> </w:t>
      </w:r>
      <w:r>
        <w:rPr/>
        <w:t>See</w:t>
      </w:r>
      <w:r>
        <w:rPr>
          <w:spacing w:val="-13"/>
        </w:rPr>
        <w:t> </w:t>
      </w:r>
      <w:hyperlink w:history="true" w:anchor="_bookmark5">
        <w:r>
          <w:rPr>
            <w:rFonts w:ascii="Arial"/>
            <w:i/>
            <w:color w:val="0056A2"/>
            <w:u w:val="single" w:color="0055A1"/>
          </w:rPr>
          <w:t>Section</w:t>
        </w:r>
        <w:r>
          <w:rPr>
            <w:rFonts w:ascii="Arial"/>
            <w:i/>
            <w:color w:val="0056A2"/>
            <w:spacing w:val="-13"/>
            <w:u w:val="single" w:color="0055A1"/>
          </w:rPr>
          <w:t> </w:t>
        </w:r>
        <w:r>
          <w:rPr>
            <w:rFonts w:ascii="Arial"/>
            <w:i/>
            <w:color w:val="0056A2"/>
            <w:u w:val="single" w:color="0055A1"/>
          </w:rPr>
          <w:t>897</w:t>
        </w:r>
        <w:r>
          <w:rPr>
            <w:rFonts w:ascii="Arial"/>
            <w:i/>
            <w:color w:val="0056A2"/>
            <w:spacing w:val="-13"/>
            <w:u w:val="single" w:color="0055A1"/>
          </w:rPr>
          <w:t> </w:t>
        </w:r>
        <w:r>
          <w:rPr>
            <w:rFonts w:ascii="Arial"/>
            <w:i/>
            <w:color w:val="0056A2"/>
            <w:u w:val="single" w:color="0055A1"/>
          </w:rPr>
          <w:t>gain</w:t>
        </w:r>
      </w:hyperlink>
      <w:r>
        <w:rPr/>
        <w:t>, </w:t>
      </w:r>
      <w:r>
        <w:rPr>
          <w:spacing w:val="-2"/>
        </w:rPr>
        <w:t>earlier.</w:t>
      </w:r>
    </w:p>
    <w:p>
      <w:pPr>
        <w:pStyle w:val="Heading2"/>
      </w:pPr>
      <w:r>
        <w:rPr>
          <w:w w:val="85"/>
        </w:rPr>
        <w:t>Box</w:t>
      </w:r>
      <w:r>
        <w:rPr>
          <w:spacing w:val="-11"/>
        </w:rPr>
        <w:t> </w:t>
      </w:r>
      <w:r>
        <w:rPr>
          <w:w w:val="85"/>
        </w:rPr>
        <w:t>2f.</w:t>
      </w:r>
      <w:r>
        <w:rPr>
          <w:spacing w:val="-11"/>
        </w:rPr>
        <w:t> </w:t>
      </w:r>
      <w:r>
        <w:rPr>
          <w:w w:val="85"/>
        </w:rPr>
        <w:t>Section</w:t>
      </w:r>
      <w:r>
        <w:rPr>
          <w:spacing w:val="-10"/>
        </w:rPr>
        <w:t> </w:t>
      </w:r>
      <w:r>
        <w:rPr>
          <w:w w:val="85"/>
        </w:rPr>
        <w:t>897</w:t>
      </w:r>
      <w:r>
        <w:rPr>
          <w:spacing w:val="-11"/>
        </w:rPr>
        <w:t> </w:t>
      </w:r>
      <w:r>
        <w:rPr>
          <w:w w:val="85"/>
        </w:rPr>
        <w:t>Capital</w:t>
      </w:r>
      <w:r>
        <w:rPr>
          <w:spacing w:val="-10"/>
        </w:rPr>
        <w:t> </w:t>
      </w:r>
      <w:r>
        <w:rPr>
          <w:spacing w:val="-4"/>
          <w:w w:val="85"/>
        </w:rPr>
        <w:t>Gain</w:t>
      </w:r>
    </w:p>
    <w:p>
      <w:pPr>
        <w:pStyle w:val="BodyText"/>
        <w:spacing w:line="232" w:lineRule="auto" w:before="27"/>
        <w:ind w:left="119" w:right="391"/>
        <w:jc w:val="both"/>
      </w:pPr>
      <w:r>
        <w:rPr/>
        <w:t>Enter</w:t>
      </w:r>
      <w:r>
        <w:rPr>
          <w:spacing w:val="-13"/>
        </w:rPr>
        <w:t> </w:t>
      </w:r>
      <w:r>
        <w:rPr/>
        <w:t>any</w:t>
      </w:r>
      <w:r>
        <w:rPr>
          <w:spacing w:val="-13"/>
        </w:rPr>
        <w:t> </w:t>
      </w:r>
      <w:r>
        <w:rPr/>
        <w:t>amount</w:t>
      </w:r>
      <w:r>
        <w:rPr>
          <w:spacing w:val="-13"/>
        </w:rPr>
        <w:t> </w:t>
      </w:r>
      <w:r>
        <w:rPr/>
        <w:t>included</w:t>
      </w:r>
      <w:r>
        <w:rPr>
          <w:spacing w:val="-13"/>
        </w:rPr>
        <w:t> </w:t>
      </w:r>
      <w:r>
        <w:rPr/>
        <w:t>in</w:t>
      </w:r>
      <w:r>
        <w:rPr>
          <w:spacing w:val="-14"/>
        </w:rPr>
        <w:t> </w:t>
      </w:r>
      <w:hyperlink w:history="true" w:anchor="_bookmark8">
        <w:r>
          <w:rPr>
            <w:color w:val="0056A2"/>
            <w:u w:val="single" w:color="0055A1"/>
          </w:rPr>
          <w:t>box</w:t>
        </w:r>
        <w:r>
          <w:rPr>
            <w:color w:val="0056A2"/>
            <w:spacing w:val="-13"/>
            <w:u w:val="single" w:color="0055A1"/>
          </w:rPr>
          <w:t> </w:t>
        </w:r>
        <w:r>
          <w:rPr>
            <w:color w:val="0056A2"/>
            <w:u w:val="single" w:color="0055A1"/>
          </w:rPr>
          <w:t>2a</w:t>
        </w:r>
      </w:hyperlink>
      <w:r>
        <w:rPr>
          <w:color w:val="0056A2"/>
          <w:spacing w:val="-13"/>
        </w:rPr>
        <w:t> </w:t>
      </w:r>
      <w:r>
        <w:rPr/>
        <w:t>that</w:t>
      </w:r>
      <w:r>
        <w:rPr>
          <w:spacing w:val="-13"/>
        </w:rPr>
        <w:t> </w:t>
      </w:r>
      <w:r>
        <w:rPr/>
        <w:t>is</w:t>
      </w:r>
      <w:r>
        <w:rPr>
          <w:spacing w:val="-13"/>
        </w:rPr>
        <w:t> </w:t>
      </w:r>
      <w:r>
        <w:rPr/>
        <w:t>section</w:t>
      </w:r>
      <w:r>
        <w:rPr>
          <w:spacing w:val="-13"/>
        </w:rPr>
        <w:t> </w:t>
      </w:r>
      <w:r>
        <w:rPr/>
        <w:t>897 gain</w:t>
      </w:r>
      <w:r>
        <w:rPr>
          <w:spacing w:val="-13"/>
        </w:rPr>
        <w:t> </w:t>
      </w:r>
      <w:r>
        <w:rPr/>
        <w:t>from</w:t>
      </w:r>
      <w:r>
        <w:rPr>
          <w:spacing w:val="-13"/>
        </w:rPr>
        <w:t> </w:t>
      </w:r>
      <w:r>
        <w:rPr/>
        <w:t>dispositions</w:t>
      </w:r>
      <w:r>
        <w:rPr>
          <w:spacing w:val="-13"/>
        </w:rPr>
        <w:t> </w:t>
      </w:r>
      <w:r>
        <w:rPr/>
        <w:t>of</w:t>
      </w:r>
      <w:r>
        <w:rPr>
          <w:spacing w:val="-13"/>
        </w:rPr>
        <w:t> </w:t>
      </w:r>
      <w:r>
        <w:rPr/>
        <w:t>USRPI.</w:t>
      </w:r>
      <w:r>
        <w:rPr>
          <w:spacing w:val="-13"/>
        </w:rPr>
        <w:t> </w:t>
      </w:r>
      <w:r>
        <w:rPr/>
        <w:t>See</w:t>
      </w:r>
      <w:r>
        <w:rPr>
          <w:spacing w:val="-13"/>
        </w:rPr>
        <w:t> </w:t>
      </w:r>
      <w:hyperlink w:history="true" w:anchor="_bookmark5">
        <w:r>
          <w:rPr>
            <w:rFonts w:ascii="Arial"/>
            <w:i/>
            <w:color w:val="0056A2"/>
            <w:u w:val="single" w:color="0055A1"/>
          </w:rPr>
          <w:t>Section</w:t>
        </w:r>
        <w:r>
          <w:rPr>
            <w:rFonts w:ascii="Arial"/>
            <w:i/>
            <w:color w:val="0056A2"/>
            <w:spacing w:val="-13"/>
            <w:u w:val="single" w:color="0055A1"/>
          </w:rPr>
          <w:t> </w:t>
        </w:r>
        <w:r>
          <w:rPr>
            <w:rFonts w:ascii="Arial"/>
            <w:i/>
            <w:color w:val="0056A2"/>
            <w:u w:val="single" w:color="0055A1"/>
          </w:rPr>
          <w:t>897</w:t>
        </w:r>
        <w:r>
          <w:rPr>
            <w:rFonts w:ascii="Arial"/>
            <w:i/>
            <w:color w:val="0056A2"/>
            <w:spacing w:val="-13"/>
            <w:u w:val="single" w:color="0055A1"/>
          </w:rPr>
          <w:t> </w:t>
        </w:r>
        <w:r>
          <w:rPr>
            <w:rFonts w:ascii="Arial"/>
            <w:i/>
            <w:color w:val="0056A2"/>
            <w:u w:val="single" w:color="0055A1"/>
          </w:rPr>
          <w:t>gain</w:t>
        </w:r>
      </w:hyperlink>
      <w:r>
        <w:rPr/>
        <w:t>, </w:t>
      </w:r>
      <w:r>
        <w:rPr>
          <w:spacing w:val="-2"/>
        </w:rPr>
        <w:t>earlier.</w:t>
      </w:r>
    </w:p>
    <w:p>
      <w:pPr>
        <w:pStyle w:val="BodyText"/>
        <w:spacing w:line="223" w:lineRule="auto" w:before="160"/>
        <w:ind w:left="119" w:right="227"/>
      </w:pPr>
      <w:r>
        <w:rPr>
          <w:rFonts w:ascii="Arial Black"/>
        </w:rPr>
        <w:t>Note.</w:t>
      </w:r>
      <w:r>
        <w:rPr>
          <w:rFonts w:ascii="Arial Black"/>
          <w:spacing w:val="18"/>
        </w:rPr>
        <w:t> </w:t>
      </w:r>
      <w:r>
        <w:rPr/>
        <w:t>Only</w:t>
      </w:r>
      <w:r>
        <w:rPr>
          <w:spacing w:val="-14"/>
        </w:rPr>
        <w:t> </w:t>
      </w:r>
      <w:r>
        <w:rPr/>
        <w:t>RICs</w:t>
      </w:r>
      <w:r>
        <w:rPr>
          <w:spacing w:val="-14"/>
        </w:rPr>
        <w:t> </w:t>
      </w:r>
      <w:r>
        <w:rPr/>
        <w:t>and</w:t>
      </w:r>
      <w:r>
        <w:rPr>
          <w:spacing w:val="-14"/>
        </w:rPr>
        <w:t> </w:t>
      </w:r>
      <w:r>
        <w:rPr/>
        <w:t>REITs</w:t>
      </w:r>
      <w:r>
        <w:rPr>
          <w:spacing w:val="-14"/>
        </w:rPr>
        <w:t> </w:t>
      </w:r>
      <w:r>
        <w:rPr/>
        <w:t>should</w:t>
      </w:r>
      <w:r>
        <w:rPr>
          <w:spacing w:val="-14"/>
        </w:rPr>
        <w:t> </w:t>
      </w:r>
      <w:r>
        <w:rPr/>
        <w:t>complete</w:t>
      </w:r>
      <w:r>
        <w:rPr>
          <w:spacing w:val="-13"/>
        </w:rPr>
        <w:t> </w:t>
      </w:r>
      <w:r>
        <w:rPr/>
        <w:t>boxes</w:t>
      </w:r>
      <w:r>
        <w:rPr>
          <w:spacing w:val="-14"/>
        </w:rPr>
        <w:t> </w:t>
      </w:r>
      <w:hyperlink w:history="true" w:anchor="_bookmark12">
        <w:r>
          <w:rPr>
            <w:color w:val="0056A2"/>
            <w:u w:val="single" w:color="0055A1"/>
          </w:rPr>
          <w:t>2e</w:t>
        </w:r>
      </w:hyperlink>
      <w:r>
        <w:rPr>
          <w:color w:val="0056A2"/>
        </w:rPr>
        <w:t> </w:t>
      </w:r>
      <w:r>
        <w:rPr/>
        <w:t>and</w:t>
      </w:r>
      <w:r>
        <w:rPr>
          <w:spacing w:val="-11"/>
        </w:rPr>
        <w:t> </w:t>
      </w:r>
      <w:hyperlink w:history="true" w:anchor="_bookmark13">
        <w:r>
          <w:rPr>
            <w:color w:val="0056A2"/>
            <w:u w:val="single" w:color="0055A1"/>
          </w:rPr>
          <w:t>2f</w:t>
        </w:r>
      </w:hyperlink>
      <w:r>
        <w:rPr/>
        <w:t>.</w:t>
      </w:r>
      <w:r>
        <w:rPr>
          <w:spacing w:val="-11"/>
        </w:rPr>
        <w:t> </w:t>
      </w:r>
      <w:r>
        <w:rPr/>
        <w:t>Boxes</w:t>
      </w:r>
      <w:r>
        <w:rPr>
          <w:spacing w:val="-11"/>
        </w:rPr>
        <w:t> </w:t>
      </w:r>
      <w:hyperlink w:history="true" w:anchor="_bookmark12">
        <w:r>
          <w:rPr>
            <w:color w:val="0056A2"/>
            <w:u w:val="single" w:color="0055A1"/>
          </w:rPr>
          <w:t>2e</w:t>
        </w:r>
      </w:hyperlink>
      <w:r>
        <w:rPr>
          <w:color w:val="0056A2"/>
          <w:spacing w:val="-11"/>
        </w:rPr>
        <w:t> </w:t>
      </w:r>
      <w:r>
        <w:rPr/>
        <w:t>and</w:t>
      </w:r>
      <w:r>
        <w:rPr>
          <w:spacing w:val="-11"/>
        </w:rPr>
        <w:t> </w:t>
      </w:r>
      <w:hyperlink w:history="true" w:anchor="_bookmark13">
        <w:r>
          <w:rPr>
            <w:color w:val="0056A2"/>
            <w:u w:val="single" w:color="0055A1"/>
          </w:rPr>
          <w:t>2f</w:t>
        </w:r>
      </w:hyperlink>
      <w:r>
        <w:rPr>
          <w:color w:val="0056A2"/>
          <w:spacing w:val="-11"/>
        </w:rPr>
        <w:t> </w:t>
      </w:r>
      <w:r>
        <w:rPr/>
        <w:t>do</w:t>
      </w:r>
      <w:r>
        <w:rPr>
          <w:spacing w:val="-11"/>
        </w:rPr>
        <w:t> </w:t>
      </w:r>
      <w:r>
        <w:rPr/>
        <w:t>not</w:t>
      </w:r>
      <w:r>
        <w:rPr>
          <w:spacing w:val="-11"/>
        </w:rPr>
        <w:t> </w:t>
      </w:r>
      <w:r>
        <w:rPr/>
        <w:t>need</w:t>
      </w:r>
      <w:r>
        <w:rPr>
          <w:spacing w:val="-11"/>
        </w:rPr>
        <w:t> </w:t>
      </w:r>
      <w:r>
        <w:rPr/>
        <w:t>to</w:t>
      </w:r>
      <w:r>
        <w:rPr>
          <w:spacing w:val="-11"/>
        </w:rPr>
        <w:t> </w:t>
      </w:r>
      <w:r>
        <w:rPr/>
        <w:t>be</w:t>
      </w:r>
      <w:r>
        <w:rPr>
          <w:spacing w:val="-11"/>
        </w:rPr>
        <w:t> </w:t>
      </w:r>
      <w:r>
        <w:rPr/>
        <w:t>completed</w:t>
      </w:r>
      <w:r>
        <w:rPr>
          <w:spacing w:val="-11"/>
        </w:rPr>
        <w:t> </w:t>
      </w:r>
      <w:r>
        <w:rPr/>
        <w:t>for recipients that are U.S. individuals.</w:t>
      </w:r>
    </w:p>
    <w:p>
      <w:pPr>
        <w:pStyle w:val="BodyText"/>
        <w:spacing w:after="0" w:line="223" w:lineRule="auto"/>
        <w:sectPr>
          <w:pgSz w:w="12240" w:h="15840"/>
          <w:pgMar w:header="0" w:footer="644" w:top="420" w:bottom="840" w:left="720" w:right="720"/>
          <w:cols w:num="2" w:equalWidth="0">
            <w:col w:w="5257" w:space="203"/>
            <w:col w:w="5340"/>
          </w:cols>
        </w:sectPr>
      </w:pPr>
    </w:p>
    <w:p>
      <w:pPr>
        <w:pStyle w:val="Heading2"/>
        <w:spacing w:before="101"/>
      </w:pPr>
      <w:bookmarkStart w:name="Box 3. Nondividend Distributions" w:id="38"/>
      <w:bookmarkEnd w:id="38"/>
      <w:r>
        <w:rPr/>
      </w:r>
      <w:r>
        <w:rPr>
          <w:w w:val="85"/>
        </w:rPr>
        <w:t>Box</w:t>
      </w:r>
      <w:r>
        <w:rPr>
          <w:spacing w:val="12"/>
        </w:rPr>
        <w:t> </w:t>
      </w:r>
      <w:r>
        <w:rPr>
          <w:w w:val="85"/>
        </w:rPr>
        <w:t>3.</w:t>
      </w:r>
      <w:r>
        <w:rPr>
          <w:spacing w:val="13"/>
        </w:rPr>
        <w:t> </w:t>
      </w:r>
      <w:r>
        <w:rPr>
          <w:w w:val="85"/>
        </w:rPr>
        <w:t>Nondividend</w:t>
      </w:r>
      <w:r>
        <w:rPr>
          <w:spacing w:val="12"/>
        </w:rPr>
        <w:t> </w:t>
      </w:r>
      <w:r>
        <w:rPr>
          <w:spacing w:val="-2"/>
          <w:w w:val="85"/>
        </w:rPr>
        <w:t>Distributions</w:t>
      </w:r>
    </w:p>
    <w:p>
      <w:pPr>
        <w:pStyle w:val="BodyText"/>
        <w:spacing w:before="21"/>
      </w:pPr>
      <w:r>
        <w:rPr/>
        <w:t>Enter</w:t>
      </w:r>
      <w:r>
        <w:rPr>
          <w:spacing w:val="-14"/>
        </w:rPr>
        <w:t> </w:t>
      </w:r>
      <w:r>
        <w:rPr/>
        <w:t>nondividend</w:t>
      </w:r>
      <w:r>
        <w:rPr>
          <w:spacing w:val="-13"/>
        </w:rPr>
        <w:t> </w:t>
      </w:r>
      <w:r>
        <w:rPr/>
        <w:t>distributions,</w:t>
      </w:r>
      <w:r>
        <w:rPr>
          <w:spacing w:val="-13"/>
        </w:rPr>
        <w:t> </w:t>
      </w:r>
      <w:r>
        <w:rPr/>
        <w:t>if</w:t>
      </w:r>
      <w:r>
        <w:rPr>
          <w:spacing w:val="-13"/>
        </w:rPr>
        <w:t> </w:t>
      </w:r>
      <w:r>
        <w:rPr>
          <w:spacing w:val="-2"/>
        </w:rPr>
        <w:t>determinable.</w:t>
      </w:r>
    </w:p>
    <w:p>
      <w:pPr>
        <w:spacing w:line="232" w:lineRule="auto" w:before="100"/>
        <w:ind w:left="816"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4784">
                <wp:simplePos x="0" y="0"/>
                <wp:positionH relativeFrom="page">
                  <wp:posOffset>533400</wp:posOffset>
                </wp:positionH>
                <wp:positionV relativeFrom="paragraph">
                  <wp:posOffset>84953</wp:posOffset>
                </wp:positionV>
                <wp:extent cx="387350" cy="38735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387350" cy="387350"/>
                          <a:chExt cx="387350" cy="387350"/>
                        </a:xfrm>
                      </wpg:grpSpPr>
                      <wps:wsp>
                        <wps:cNvPr id="56" name="Graphic 56"/>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58" name="Textbox 58"/>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689253pt;width:30.5pt;height:30.5pt;mso-position-horizontal-relative:page;mso-position-vertical-relative:paragraph;z-index:15734784" id="docshapegroup54" coordorigin="840,134" coordsize="610,610">
                <v:shape style="position:absolute;left:840;top:133;width:610;height:610" id="docshape55" coordorigin="840,134" coordsize="610,610" path="m1411,134l878,134,863,137,851,145,843,157,840,172,840,705,843,720,851,732,863,740,878,743,1411,743,1426,740,1438,732,1446,720,1449,705,1449,172,1446,157,1438,145,1426,137,1411,134xe" filled="true" fillcolor="#000000" stroked="false">
                  <v:path arrowok="t"/>
                  <v:fill type="solid"/>
                </v:shape>
                <v:shape style="position:absolute;left:890;top:184;width:508;height:508" id="docshape56" coordorigin="891,185" coordsize="508,508" path="m1145,185l1077,194,1017,219,965,259,925,310,900,371,891,438,900,506,925,566,965,618,1017,658,1077,683,1145,692,1212,683,1273,658,1324,618,1364,566,1389,506,1398,438,1389,371,1364,310,1324,259,1273,219,1212,194,1145,185xe" filled="true" fillcolor="#ffffff" stroked="false">
                  <v:path arrowok="t"/>
                  <v:fill type="solid"/>
                </v:shape>
                <v:shape style="position:absolute;left:840;top:133;width:610;height:610" type="#_x0000_t202" id="docshape57"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sz w:val="20"/>
        </w:rPr>
        <w:t>File</w:t>
      </w:r>
      <w:r>
        <w:rPr>
          <w:rFonts w:ascii="Arial"/>
          <w:i/>
          <w:spacing w:val="-14"/>
          <w:sz w:val="20"/>
        </w:rPr>
        <w:t> </w:t>
      </w:r>
      <w:r>
        <w:rPr>
          <w:rFonts w:ascii="Arial"/>
          <w:i/>
          <w:sz w:val="20"/>
        </w:rPr>
        <w:t>Form</w:t>
      </w:r>
      <w:r>
        <w:rPr>
          <w:rFonts w:ascii="Arial"/>
          <w:i/>
          <w:spacing w:val="-14"/>
          <w:sz w:val="20"/>
        </w:rPr>
        <w:t> </w:t>
      </w:r>
      <w:r>
        <w:rPr>
          <w:rFonts w:ascii="Arial"/>
          <w:i/>
          <w:sz w:val="20"/>
        </w:rPr>
        <w:t>5452</w:t>
      </w:r>
      <w:r>
        <w:rPr>
          <w:rFonts w:ascii="Arial"/>
          <w:i/>
          <w:spacing w:val="-14"/>
          <w:sz w:val="20"/>
        </w:rPr>
        <w:t> </w:t>
      </w:r>
      <w:r>
        <w:rPr>
          <w:rFonts w:ascii="Arial"/>
          <w:i/>
          <w:sz w:val="20"/>
        </w:rPr>
        <w:t>if</w:t>
      </w:r>
      <w:r>
        <w:rPr>
          <w:rFonts w:ascii="Arial"/>
          <w:i/>
          <w:spacing w:val="-14"/>
          <w:sz w:val="20"/>
        </w:rPr>
        <w:t> </w:t>
      </w:r>
      <w:r>
        <w:rPr>
          <w:rFonts w:ascii="Arial"/>
          <w:i/>
          <w:sz w:val="20"/>
        </w:rPr>
        <w:t>you</w:t>
      </w:r>
      <w:r>
        <w:rPr>
          <w:rFonts w:ascii="Arial"/>
          <w:i/>
          <w:spacing w:val="-14"/>
          <w:sz w:val="20"/>
        </w:rPr>
        <w:t> </w:t>
      </w:r>
      <w:r>
        <w:rPr>
          <w:rFonts w:ascii="Arial"/>
          <w:i/>
          <w:sz w:val="20"/>
        </w:rPr>
        <w:t>are</w:t>
      </w:r>
      <w:r>
        <w:rPr>
          <w:rFonts w:ascii="Arial"/>
          <w:i/>
          <w:spacing w:val="-14"/>
          <w:sz w:val="20"/>
        </w:rPr>
        <w:t> </w:t>
      </w:r>
      <w:r>
        <w:rPr>
          <w:rFonts w:ascii="Arial"/>
          <w:i/>
          <w:sz w:val="20"/>
        </w:rPr>
        <w:t>a</w:t>
      </w:r>
      <w:r>
        <w:rPr>
          <w:rFonts w:ascii="Arial"/>
          <w:i/>
          <w:spacing w:val="-14"/>
          <w:sz w:val="20"/>
        </w:rPr>
        <w:t> </w:t>
      </w:r>
      <w:r>
        <w:rPr>
          <w:rFonts w:ascii="Arial"/>
          <w:i/>
          <w:sz w:val="20"/>
        </w:rPr>
        <w:t>corporation</w:t>
      </w:r>
      <w:r>
        <w:rPr>
          <w:rFonts w:ascii="Arial"/>
          <w:i/>
          <w:spacing w:val="-14"/>
          <w:sz w:val="20"/>
        </w:rPr>
        <w:t> </w:t>
      </w:r>
      <w:r>
        <w:rPr>
          <w:rFonts w:ascii="Arial"/>
          <w:i/>
          <w:sz w:val="20"/>
        </w:rPr>
        <w:t>and</w:t>
      </w:r>
      <w:r>
        <w:rPr>
          <w:rFonts w:ascii="Arial"/>
          <w:i/>
          <w:spacing w:val="-14"/>
          <w:sz w:val="20"/>
        </w:rPr>
        <w:t> </w:t>
      </w:r>
      <w:r>
        <w:rPr>
          <w:rFonts w:ascii="Arial"/>
          <w:i/>
          <w:sz w:val="20"/>
        </w:rPr>
        <w:t>paid </w:t>
      </w:r>
      <w:bookmarkStart w:name="Box 9. Cash Liquidation Distributions" w:id="39"/>
      <w:bookmarkEnd w:id="39"/>
      <w:r>
        <w:rPr>
          <w:rFonts w:ascii="Arial"/>
          <w:i/>
          <w:sz w:val="20"/>
        </w:rPr>
      </w:r>
      <w:bookmarkStart w:name="_bookmark15" w:id="40"/>
      <w:bookmarkEnd w:id="40"/>
      <w:r>
        <w:rPr>
          <w:rFonts w:ascii="Arial"/>
          <w:i/>
          <w:sz w:val="20"/>
        </w:rPr>
        <w:t>nondividend</w:t>
      </w:r>
      <w:r>
        <w:rPr>
          <w:rFonts w:ascii="Arial"/>
          <w:i/>
          <w:sz w:val="20"/>
        </w:rPr>
        <w:t> distributions to shareholders.</w:t>
      </w:r>
    </w:p>
    <w:p>
      <w:pPr>
        <w:pStyle w:val="BodyText"/>
        <w:spacing w:before="130"/>
        <w:ind w:left="0"/>
        <w:rPr>
          <w:rFonts w:ascii="Arial"/>
          <w:i/>
        </w:rPr>
      </w:pPr>
    </w:p>
    <w:p>
      <w:pPr>
        <w:pStyle w:val="Heading2"/>
        <w:spacing w:before="0"/>
      </w:pPr>
      <w:bookmarkStart w:name="Box 4. Federal Income Tax Withheld" w:id="41"/>
      <w:bookmarkEnd w:id="41"/>
      <w:r>
        <w:rPr/>
      </w:r>
      <w:bookmarkStart w:name="Box 10. Noncash Liquidation Distribution" w:id="42"/>
      <w:bookmarkEnd w:id="42"/>
      <w:r>
        <w:rPr/>
      </w:r>
      <w:bookmarkStart w:name="_bookmark16" w:id="43"/>
      <w:bookmarkEnd w:id="43"/>
      <w:r>
        <w:rPr/>
      </w:r>
      <w:r>
        <w:rPr>
          <w:w w:val="85"/>
        </w:rPr>
        <w:t>Box</w:t>
      </w:r>
      <w:r>
        <w:rPr>
          <w:spacing w:val="-5"/>
          <w:w w:val="85"/>
        </w:rPr>
        <w:t> </w:t>
      </w:r>
      <w:r>
        <w:rPr>
          <w:w w:val="85"/>
        </w:rPr>
        <w:t>4.</w:t>
      </w:r>
      <w:r>
        <w:rPr>
          <w:spacing w:val="-4"/>
          <w:w w:val="85"/>
        </w:rPr>
        <w:t> </w:t>
      </w:r>
      <w:r>
        <w:rPr>
          <w:w w:val="85"/>
        </w:rPr>
        <w:t>Federal</w:t>
      </w:r>
      <w:r>
        <w:rPr>
          <w:spacing w:val="-4"/>
          <w:w w:val="85"/>
        </w:rPr>
        <w:t> </w:t>
      </w:r>
      <w:r>
        <w:rPr>
          <w:w w:val="85"/>
        </w:rPr>
        <w:t>Income</w:t>
      </w:r>
      <w:r>
        <w:rPr>
          <w:spacing w:val="-4"/>
          <w:w w:val="85"/>
        </w:rPr>
        <w:t> </w:t>
      </w:r>
      <w:r>
        <w:rPr>
          <w:w w:val="85"/>
        </w:rPr>
        <w:t>Tax</w:t>
      </w:r>
      <w:r>
        <w:rPr>
          <w:spacing w:val="-4"/>
          <w:w w:val="85"/>
        </w:rPr>
        <w:t> </w:t>
      </w:r>
      <w:r>
        <w:rPr>
          <w:spacing w:val="-2"/>
          <w:w w:val="85"/>
        </w:rPr>
        <w:t>Withheld</w:t>
      </w:r>
    </w:p>
    <w:p>
      <w:pPr>
        <w:pStyle w:val="BodyText"/>
        <w:spacing w:line="232" w:lineRule="auto" w:before="27"/>
        <w:ind w:left="119"/>
      </w:pPr>
      <w:r>
        <w:rPr/>
        <w:t>Enter backup withholding. Recipients who have not furnished their TINs to you in the manner required are subject to backup withholding on certain dividend </w:t>
      </w:r>
      <w:bookmarkStart w:name="Box 11. FATCA Filing Requirement" w:id="44"/>
      <w:bookmarkEnd w:id="44"/>
      <w:r>
        <w:rPr/>
      </w:r>
      <w:bookmarkStart w:name="_bookmark17" w:id="45"/>
      <w:bookmarkEnd w:id="45"/>
      <w:r>
        <w:rPr/>
        <w:t>p</w:t>
      </w:r>
      <w:r>
        <w:rPr/>
        <w:t>ayments</w:t>
      </w:r>
      <w:r>
        <w:rPr>
          <w:spacing w:val="-14"/>
        </w:rPr>
        <w:t> </w:t>
      </w:r>
      <w:r>
        <w:rPr/>
        <w:t>reported</w:t>
      </w:r>
      <w:r>
        <w:rPr>
          <w:spacing w:val="-14"/>
        </w:rPr>
        <w:t> </w:t>
      </w:r>
      <w:r>
        <w:rPr/>
        <w:t>on</w:t>
      </w:r>
      <w:r>
        <w:rPr>
          <w:spacing w:val="-14"/>
        </w:rPr>
        <w:t> </w:t>
      </w:r>
      <w:r>
        <w:rPr/>
        <w:t>this</w:t>
      </w:r>
      <w:r>
        <w:rPr>
          <w:spacing w:val="-14"/>
        </w:rPr>
        <w:t> </w:t>
      </w:r>
      <w:r>
        <w:rPr/>
        <w:t>form.</w:t>
      </w:r>
      <w:r>
        <w:rPr>
          <w:spacing w:val="-14"/>
        </w:rPr>
        <w:t> </w:t>
      </w:r>
      <w:r>
        <w:rPr/>
        <w:t>Use</w:t>
      </w:r>
      <w:r>
        <w:rPr>
          <w:spacing w:val="-14"/>
        </w:rPr>
        <w:t> </w:t>
      </w:r>
      <w:r>
        <w:rPr/>
        <w:t>Form</w:t>
      </w:r>
      <w:r>
        <w:rPr>
          <w:spacing w:val="-13"/>
        </w:rPr>
        <w:t> </w:t>
      </w:r>
      <w:r>
        <w:rPr/>
        <w:t>W-9</w:t>
      </w:r>
      <w:r>
        <w:rPr>
          <w:spacing w:val="-14"/>
        </w:rPr>
        <w:t> </w:t>
      </w:r>
      <w:r>
        <w:rPr/>
        <w:t>to</w:t>
      </w:r>
      <w:r>
        <w:rPr>
          <w:spacing w:val="-14"/>
        </w:rPr>
        <w:t> </w:t>
      </w:r>
      <w:r>
        <w:rPr/>
        <w:t>request the TIN of the recipient. For foreign recipients, use the applicable Form W-8. See the Instructions for the Requester of Forms W-8BEN, W-8ECI, W-8EXP, and</w:t>
      </w:r>
    </w:p>
    <w:p>
      <w:pPr>
        <w:pStyle w:val="BodyText"/>
        <w:spacing w:before="1"/>
        <w:ind w:left="119"/>
      </w:pPr>
      <w:r>
        <w:rPr/>
        <w:t>W-</w:t>
      </w:r>
      <w:r>
        <w:rPr>
          <w:spacing w:val="-2"/>
        </w:rPr>
        <w:t>8IMY.</w:t>
      </w:r>
    </w:p>
    <w:p>
      <w:pPr>
        <w:pStyle w:val="BodyText"/>
        <w:spacing w:line="232" w:lineRule="auto" w:before="100"/>
        <w:ind w:left="119" w:firstLine="240"/>
      </w:pPr>
      <w:r>
        <w:rPr/>
        <w:t>For</w:t>
      </w:r>
      <w:r>
        <w:rPr>
          <w:spacing w:val="-14"/>
        </w:rPr>
        <w:t> </w:t>
      </w:r>
      <w:r>
        <w:rPr/>
        <w:t>more</w:t>
      </w:r>
      <w:r>
        <w:rPr>
          <w:spacing w:val="-14"/>
        </w:rPr>
        <w:t> </w:t>
      </w:r>
      <w:r>
        <w:rPr/>
        <w:t>information</w:t>
      </w:r>
      <w:r>
        <w:rPr>
          <w:spacing w:val="-14"/>
        </w:rPr>
        <w:t> </w:t>
      </w:r>
      <w:r>
        <w:rPr/>
        <w:t>on</w:t>
      </w:r>
      <w:r>
        <w:rPr>
          <w:spacing w:val="-14"/>
        </w:rPr>
        <w:t> </w:t>
      </w:r>
      <w:r>
        <w:rPr/>
        <w:t>backup</w:t>
      </w:r>
      <w:r>
        <w:rPr>
          <w:spacing w:val="-14"/>
        </w:rPr>
        <w:t> </w:t>
      </w:r>
      <w:r>
        <w:rPr/>
        <w:t>withholding,</w:t>
      </w:r>
      <w:r>
        <w:rPr>
          <w:spacing w:val="-14"/>
        </w:rPr>
        <w:t> </w:t>
      </w:r>
      <w:r>
        <w:rPr/>
        <w:t>including the applicable rate, see part N in the current General Instructions for Certain Information Returns.</w:t>
      </w:r>
    </w:p>
    <w:p>
      <w:pPr>
        <w:pStyle w:val="Heading2"/>
        <w:ind w:left="119"/>
      </w:pPr>
      <w:bookmarkStart w:name="Box 5. Section 199A Dividends" w:id="46"/>
      <w:bookmarkEnd w:id="46"/>
      <w:r>
        <w:rPr/>
      </w:r>
      <w:r>
        <w:rPr>
          <w:w w:val="85"/>
        </w:rPr>
        <w:t>Box</w:t>
      </w:r>
      <w:r>
        <w:rPr>
          <w:spacing w:val="-7"/>
        </w:rPr>
        <w:t> </w:t>
      </w:r>
      <w:r>
        <w:rPr>
          <w:w w:val="85"/>
        </w:rPr>
        <w:t>5.</w:t>
      </w:r>
      <w:r>
        <w:rPr>
          <w:spacing w:val="-7"/>
        </w:rPr>
        <w:t> </w:t>
      </w:r>
      <w:r>
        <w:rPr>
          <w:w w:val="85"/>
        </w:rPr>
        <w:t>Section</w:t>
      </w:r>
      <w:r>
        <w:rPr>
          <w:spacing w:val="-7"/>
        </w:rPr>
        <w:t> </w:t>
      </w:r>
      <w:r>
        <w:rPr>
          <w:w w:val="85"/>
        </w:rPr>
        <w:t>199A</w:t>
      </w:r>
      <w:r>
        <w:rPr>
          <w:spacing w:val="-7"/>
        </w:rPr>
        <w:t> </w:t>
      </w:r>
      <w:r>
        <w:rPr>
          <w:spacing w:val="-2"/>
          <w:w w:val="85"/>
        </w:rPr>
        <w:t>Dividends</w:t>
      </w:r>
    </w:p>
    <w:p>
      <w:pPr>
        <w:pStyle w:val="BodyText"/>
        <w:spacing w:line="232" w:lineRule="auto" w:before="27"/>
        <w:ind w:left="119" w:right="99"/>
      </w:pPr>
      <w:r>
        <w:rPr/>
        <w:t>Enter the qualified REIT dividends paid by a REIT or </w:t>
      </w:r>
      <w:bookmarkStart w:name="Box 12. Exempt-Interest Dividends" w:id="47"/>
      <w:bookmarkEnd w:id="47"/>
      <w:r>
        <w:rPr/>
        <w:t>section</w:t>
      </w:r>
      <w:r>
        <w:rPr/>
        <w:t> 199A dividends paid by a RIC to the recipient. This</w:t>
      </w:r>
      <w:r>
        <w:rPr>
          <w:spacing w:val="-12"/>
        </w:rPr>
        <w:t> </w:t>
      </w:r>
      <w:r>
        <w:rPr/>
        <w:t>amount</w:t>
      </w:r>
      <w:r>
        <w:rPr>
          <w:spacing w:val="-12"/>
        </w:rPr>
        <w:t> </w:t>
      </w:r>
      <w:r>
        <w:rPr/>
        <w:t>is</w:t>
      </w:r>
      <w:r>
        <w:rPr>
          <w:spacing w:val="-12"/>
        </w:rPr>
        <w:t> </w:t>
      </w:r>
      <w:r>
        <w:rPr/>
        <w:t>included</w:t>
      </w:r>
      <w:r>
        <w:rPr>
          <w:spacing w:val="-12"/>
        </w:rPr>
        <w:t> </w:t>
      </w:r>
      <w:r>
        <w:rPr/>
        <w:t>in</w:t>
      </w:r>
      <w:r>
        <w:rPr>
          <w:spacing w:val="-12"/>
        </w:rPr>
        <w:t> </w:t>
      </w:r>
      <w:r>
        <w:rPr/>
        <w:t>the</w:t>
      </w:r>
      <w:r>
        <w:rPr>
          <w:spacing w:val="-12"/>
        </w:rPr>
        <w:t> </w:t>
      </w:r>
      <w:r>
        <w:rPr/>
        <w:t>amount</w:t>
      </w:r>
      <w:r>
        <w:rPr>
          <w:spacing w:val="-12"/>
        </w:rPr>
        <w:t> </w:t>
      </w:r>
      <w:r>
        <w:rPr/>
        <w:t>reported</w:t>
      </w:r>
      <w:r>
        <w:rPr>
          <w:spacing w:val="-12"/>
        </w:rPr>
        <w:t> </w:t>
      </w:r>
      <w:r>
        <w:rPr/>
        <w:t>in</w:t>
      </w:r>
      <w:r>
        <w:rPr>
          <w:spacing w:val="-13"/>
        </w:rPr>
        <w:t> </w:t>
      </w:r>
      <w:hyperlink w:history="true" w:anchor="_bookmark14">
        <w:r>
          <w:rPr>
            <w:color w:val="0056A2"/>
            <w:u w:val="single" w:color="0055A1"/>
          </w:rPr>
          <w:t>box</w:t>
        </w:r>
        <w:r>
          <w:rPr>
            <w:color w:val="0056A2"/>
            <w:spacing w:val="-12"/>
            <w:u w:val="single" w:color="0055A1"/>
          </w:rPr>
          <w:t> </w:t>
        </w:r>
        <w:r>
          <w:rPr>
            <w:color w:val="0056A2"/>
            <w:u w:val="single" w:color="0055A1"/>
          </w:rPr>
          <w:t>1a</w:t>
        </w:r>
      </w:hyperlink>
      <w:r>
        <w:rPr/>
        <w:t>. Include</w:t>
      </w:r>
      <w:r>
        <w:rPr>
          <w:spacing w:val="-11"/>
        </w:rPr>
        <w:t> </w:t>
      </w:r>
      <w:r>
        <w:rPr/>
        <w:t>REIT</w:t>
      </w:r>
      <w:r>
        <w:rPr>
          <w:spacing w:val="-11"/>
        </w:rPr>
        <w:t> </w:t>
      </w:r>
      <w:r>
        <w:rPr/>
        <w:t>dividends</w:t>
      </w:r>
      <w:r>
        <w:rPr>
          <w:spacing w:val="-11"/>
        </w:rPr>
        <w:t> </w:t>
      </w:r>
      <w:r>
        <w:rPr/>
        <w:t>(other</w:t>
      </w:r>
      <w:r>
        <w:rPr>
          <w:spacing w:val="-11"/>
        </w:rPr>
        <w:t> </w:t>
      </w:r>
      <w:r>
        <w:rPr/>
        <w:t>than</w:t>
      </w:r>
      <w:r>
        <w:rPr>
          <w:spacing w:val="-11"/>
        </w:rPr>
        <w:t> </w:t>
      </w:r>
      <w:r>
        <w:rPr/>
        <w:t>capital</w:t>
      </w:r>
      <w:r>
        <w:rPr>
          <w:spacing w:val="-11"/>
        </w:rPr>
        <w:t> </w:t>
      </w:r>
      <w:r>
        <w:rPr/>
        <w:t>gain</w:t>
      </w:r>
      <w:r>
        <w:rPr>
          <w:spacing w:val="-11"/>
        </w:rPr>
        <w:t> </w:t>
      </w:r>
      <w:r>
        <w:rPr/>
        <w:t>dividends and qualified dividends) for which it is impractical for the REIT to determine whether the recipient has met the holding period requirement described in Regulations section</w:t>
      </w:r>
      <w:r>
        <w:rPr>
          <w:spacing w:val="-2"/>
        </w:rPr>
        <w:t> </w:t>
      </w:r>
      <w:r>
        <w:rPr/>
        <w:t>1.199A-3(c)(2)(ii).</w:t>
      </w:r>
      <w:r>
        <w:rPr>
          <w:spacing w:val="-2"/>
        </w:rPr>
        <w:t> </w:t>
      </w:r>
      <w:r>
        <w:rPr/>
        <w:t>See</w:t>
      </w:r>
      <w:hyperlink w:history="true" w:anchor="_bookmark4">
        <w:r>
          <w:rPr>
            <w:rFonts w:ascii="Arial"/>
            <w:i/>
            <w:color w:val="0056A2"/>
            <w:u w:val="single" w:color="0055A1"/>
          </w:rPr>
          <w:t> Qualified</w:t>
        </w:r>
        <w:r>
          <w:rPr>
            <w:rFonts w:ascii="Arial"/>
            <w:i/>
            <w:color w:val="0056A2"/>
            <w:spacing w:val="-2"/>
            <w:u w:val="single" w:color="0055A1"/>
          </w:rPr>
          <w:t> </w:t>
        </w:r>
        <w:r>
          <w:rPr>
            <w:rFonts w:ascii="Arial"/>
            <w:i/>
            <w:color w:val="0056A2"/>
            <w:u w:val="single" w:color="0055A1"/>
          </w:rPr>
          <w:t>REIT</w:t>
        </w:r>
        <w:r>
          <w:rPr>
            <w:rFonts w:ascii="Arial"/>
            <w:i/>
            <w:color w:val="0056A2"/>
            <w:spacing w:val="-2"/>
            <w:u w:val="single" w:color="0055A1"/>
          </w:rPr>
          <w:t> </w:t>
        </w:r>
        <w:r>
          <w:rPr>
            <w:rFonts w:ascii="Arial"/>
            <w:i/>
            <w:color w:val="0056A2"/>
            <w:u w:val="single" w:color="0055A1"/>
          </w:rPr>
          <w:t>dividends</w:t>
        </w:r>
      </w:hyperlink>
      <w:r>
        <w:rPr/>
        <w:t>, </w:t>
      </w:r>
      <w:bookmarkStart w:name="Box 13. Specified Private Activity Bond " w:id="48"/>
      <w:bookmarkEnd w:id="48"/>
      <w:r>
        <w:rPr>
          <w:spacing w:val="-2"/>
        </w:rPr>
        <w:t>earlie</w:t>
      </w:r>
      <w:r>
        <w:rPr>
          <w:spacing w:val="-2"/>
        </w:rPr>
        <w:t>r.</w:t>
      </w:r>
    </w:p>
    <w:p>
      <w:pPr>
        <w:pStyle w:val="Heading2"/>
        <w:spacing w:before="131"/>
      </w:pPr>
      <w:bookmarkStart w:name="Box 6. Investment Expenses" w:id="49"/>
      <w:bookmarkEnd w:id="49"/>
      <w:r>
        <w:rPr/>
      </w:r>
      <w:bookmarkStart w:name="_bookmark18" w:id="50"/>
      <w:bookmarkEnd w:id="50"/>
      <w:r>
        <w:rPr/>
      </w:r>
      <w:r>
        <w:rPr>
          <w:w w:val="85"/>
        </w:rPr>
        <w:t>Box</w:t>
      </w:r>
      <w:r>
        <w:rPr>
          <w:spacing w:val="-11"/>
        </w:rPr>
        <w:t> </w:t>
      </w:r>
      <w:r>
        <w:rPr>
          <w:w w:val="85"/>
        </w:rPr>
        <w:t>6.</w:t>
      </w:r>
      <w:r>
        <w:rPr>
          <w:spacing w:val="-11"/>
        </w:rPr>
        <w:t> </w:t>
      </w:r>
      <w:r>
        <w:rPr>
          <w:w w:val="85"/>
        </w:rPr>
        <w:t>Investment</w:t>
      </w:r>
      <w:r>
        <w:rPr>
          <w:spacing w:val="-11"/>
        </w:rPr>
        <w:t> </w:t>
      </w:r>
      <w:r>
        <w:rPr>
          <w:spacing w:val="-2"/>
          <w:w w:val="85"/>
        </w:rPr>
        <w:t>Expenses</w:t>
      </w:r>
    </w:p>
    <w:p>
      <w:pPr>
        <w:pStyle w:val="BodyText"/>
        <w:spacing w:line="232" w:lineRule="auto" w:before="27"/>
      </w:pPr>
      <w:r>
        <w:rPr/>
        <w:t>Enter the recipient's pro rata share of certain amounts deductible by a nonpublicly offered RIC in computing its taxable</w:t>
      </w:r>
      <w:r>
        <w:rPr>
          <w:spacing w:val="-14"/>
        </w:rPr>
        <w:t> </w:t>
      </w:r>
      <w:r>
        <w:rPr/>
        <w:t>income.</w:t>
      </w:r>
      <w:r>
        <w:rPr>
          <w:spacing w:val="-14"/>
        </w:rPr>
        <w:t> </w:t>
      </w:r>
      <w:r>
        <w:rPr/>
        <w:t>This</w:t>
      </w:r>
      <w:r>
        <w:rPr>
          <w:spacing w:val="-14"/>
        </w:rPr>
        <w:t> </w:t>
      </w:r>
      <w:r>
        <w:rPr/>
        <w:t>amount</w:t>
      </w:r>
      <w:r>
        <w:rPr>
          <w:spacing w:val="-14"/>
        </w:rPr>
        <w:t> </w:t>
      </w:r>
      <w:r>
        <w:rPr/>
        <w:t>is</w:t>
      </w:r>
      <w:r>
        <w:rPr>
          <w:spacing w:val="-14"/>
        </w:rPr>
        <w:t> </w:t>
      </w:r>
      <w:r>
        <w:rPr/>
        <w:t>includible</w:t>
      </w:r>
      <w:r>
        <w:rPr>
          <w:spacing w:val="-13"/>
        </w:rPr>
        <w:t> </w:t>
      </w:r>
      <w:r>
        <w:rPr/>
        <w:t>in</w:t>
      </w:r>
      <w:r>
        <w:rPr>
          <w:spacing w:val="-14"/>
        </w:rPr>
        <w:t> </w:t>
      </w:r>
      <w:r>
        <w:rPr/>
        <w:t>the</w:t>
      </w:r>
      <w:r>
        <w:rPr>
          <w:spacing w:val="-14"/>
        </w:rPr>
        <w:t> </w:t>
      </w:r>
      <w:r>
        <w:rPr/>
        <w:t>recipient's gross income under section 67(c) and must also be included in </w:t>
      </w:r>
      <w:hyperlink w:history="true" w:anchor="_bookmark14">
        <w:r>
          <w:rPr>
            <w:color w:val="0056A2"/>
            <w:u w:val="single" w:color="0055A1"/>
          </w:rPr>
          <w:t>box 1a</w:t>
        </w:r>
      </w:hyperlink>
      <w:r>
        <w:rPr/>
        <w:t>. Do not include any investment expenses in </w:t>
      </w:r>
      <w:hyperlink w:history="true" w:anchor="_bookmark7">
        <w:r>
          <w:rPr>
            <w:color w:val="0056A2"/>
            <w:u w:val="single" w:color="0055A1"/>
          </w:rPr>
          <w:t>box 1b</w:t>
        </w:r>
      </w:hyperlink>
      <w:r>
        <w:rPr/>
        <w:t>.</w:t>
      </w:r>
    </w:p>
    <w:p>
      <w:pPr>
        <w:pStyle w:val="Heading2"/>
        <w:spacing w:before="129"/>
      </w:pPr>
      <w:bookmarkStart w:name="Box 7. Foreign Tax Paid" w:id="51"/>
      <w:bookmarkEnd w:id="51"/>
      <w:r>
        <w:rPr/>
      </w:r>
      <w:bookmarkStart w:name="_bookmark19" w:id="52"/>
      <w:bookmarkEnd w:id="52"/>
      <w:r>
        <w:rPr/>
      </w:r>
      <w:r>
        <w:rPr>
          <w:w w:val="85"/>
        </w:rPr>
        <w:t>Box</w:t>
      </w:r>
      <w:r>
        <w:rPr>
          <w:spacing w:val="-5"/>
          <w:w w:val="85"/>
        </w:rPr>
        <w:t> </w:t>
      </w:r>
      <w:r>
        <w:rPr>
          <w:w w:val="85"/>
        </w:rPr>
        <w:t>7.</w:t>
      </w:r>
      <w:r>
        <w:rPr>
          <w:spacing w:val="-5"/>
          <w:w w:val="85"/>
        </w:rPr>
        <w:t> </w:t>
      </w:r>
      <w:r>
        <w:rPr>
          <w:w w:val="85"/>
        </w:rPr>
        <w:t>Foreign</w:t>
      </w:r>
      <w:r>
        <w:rPr>
          <w:spacing w:val="-4"/>
          <w:w w:val="85"/>
        </w:rPr>
        <w:t> </w:t>
      </w:r>
      <w:r>
        <w:rPr>
          <w:w w:val="85"/>
        </w:rPr>
        <w:t>Tax</w:t>
      </w:r>
      <w:r>
        <w:rPr>
          <w:spacing w:val="-5"/>
          <w:w w:val="85"/>
        </w:rPr>
        <w:t> </w:t>
      </w:r>
      <w:r>
        <w:rPr>
          <w:spacing w:val="-4"/>
          <w:w w:val="85"/>
        </w:rPr>
        <w:t>Paid</w:t>
      </w:r>
    </w:p>
    <w:p>
      <w:pPr>
        <w:pStyle w:val="BodyText"/>
        <w:spacing w:line="232" w:lineRule="auto" w:before="27"/>
      </w:pPr>
      <w:bookmarkStart w:name="Boxes 14–16. State Information" w:id="53"/>
      <w:bookmarkEnd w:id="53"/>
      <w:r>
        <w:rPr/>
      </w:r>
      <w:r>
        <w:rPr/>
        <w:t>Enter</w:t>
      </w:r>
      <w:r>
        <w:rPr>
          <w:spacing w:val="-13"/>
        </w:rPr>
        <w:t> </w:t>
      </w:r>
      <w:r>
        <w:rPr/>
        <w:t>foreign</w:t>
      </w:r>
      <w:r>
        <w:rPr>
          <w:spacing w:val="-13"/>
        </w:rPr>
        <w:t> </w:t>
      </w:r>
      <w:r>
        <w:rPr/>
        <w:t>tax</w:t>
      </w:r>
      <w:r>
        <w:rPr>
          <w:spacing w:val="-13"/>
        </w:rPr>
        <w:t> </w:t>
      </w:r>
      <w:r>
        <w:rPr/>
        <w:t>paid</w:t>
      </w:r>
      <w:r>
        <w:rPr>
          <w:spacing w:val="-13"/>
        </w:rPr>
        <w:t> </w:t>
      </w:r>
      <w:r>
        <w:rPr/>
        <w:t>on</w:t>
      </w:r>
      <w:r>
        <w:rPr>
          <w:spacing w:val="-13"/>
        </w:rPr>
        <w:t> </w:t>
      </w:r>
      <w:r>
        <w:rPr/>
        <w:t>dividends</w:t>
      </w:r>
      <w:r>
        <w:rPr>
          <w:spacing w:val="-13"/>
        </w:rPr>
        <w:t> </w:t>
      </w:r>
      <w:r>
        <w:rPr/>
        <w:t>and</w:t>
      </w:r>
      <w:r>
        <w:rPr>
          <w:spacing w:val="-13"/>
        </w:rPr>
        <w:t> </w:t>
      </w:r>
      <w:r>
        <w:rPr/>
        <w:t>other</w:t>
      </w:r>
      <w:r>
        <w:rPr>
          <w:spacing w:val="-13"/>
        </w:rPr>
        <w:t> </w:t>
      </w:r>
      <w:r>
        <w:rPr/>
        <w:t>distributions on stock. A RIC must report only the amount it elects to pass through to the recipient. Report this amount in U.S. </w:t>
      </w:r>
      <w:r>
        <w:rPr>
          <w:spacing w:val="-2"/>
        </w:rPr>
        <w:t>dollars.</w:t>
      </w:r>
    </w:p>
    <w:p>
      <w:pPr>
        <w:spacing w:line="244" w:lineRule="auto" w:before="126"/>
        <w:ind w:left="120" w:right="99" w:hanging="1"/>
        <w:jc w:val="left"/>
        <w:rPr>
          <w:sz w:val="20"/>
        </w:rPr>
      </w:pPr>
      <w:bookmarkStart w:name="Box 8. Foreign Country or U.S. Possessio" w:id="54"/>
      <w:bookmarkEnd w:id="54"/>
      <w:r>
        <w:rPr/>
      </w:r>
      <w:r>
        <w:rPr>
          <w:rFonts w:ascii="Arial Black"/>
          <w:w w:val="90"/>
          <w:sz w:val="22"/>
        </w:rPr>
        <w:t>Box 8. Foreign Country or U.S. Possession </w:t>
      </w:r>
      <w:r>
        <w:rPr>
          <w:sz w:val="20"/>
        </w:rPr>
        <w:t>Enter</w:t>
      </w:r>
      <w:r>
        <w:rPr>
          <w:spacing w:val="-14"/>
          <w:sz w:val="20"/>
        </w:rPr>
        <w:t> </w:t>
      </w:r>
      <w:r>
        <w:rPr>
          <w:sz w:val="20"/>
        </w:rPr>
        <w:t>the</w:t>
      </w:r>
      <w:r>
        <w:rPr>
          <w:spacing w:val="-14"/>
          <w:sz w:val="20"/>
        </w:rPr>
        <w:t> </w:t>
      </w:r>
      <w:r>
        <w:rPr>
          <w:sz w:val="20"/>
        </w:rPr>
        <w:t>name</w:t>
      </w:r>
      <w:r>
        <w:rPr>
          <w:spacing w:val="-14"/>
          <w:sz w:val="20"/>
        </w:rPr>
        <w:t> </w:t>
      </w:r>
      <w:r>
        <w:rPr>
          <w:sz w:val="20"/>
        </w:rPr>
        <w:t>of</w:t>
      </w:r>
      <w:r>
        <w:rPr>
          <w:spacing w:val="-14"/>
          <w:sz w:val="20"/>
        </w:rPr>
        <w:t> </w:t>
      </w:r>
      <w:r>
        <w:rPr>
          <w:sz w:val="20"/>
        </w:rPr>
        <w:t>the</w:t>
      </w:r>
      <w:r>
        <w:rPr>
          <w:spacing w:val="-14"/>
          <w:sz w:val="20"/>
        </w:rPr>
        <w:t> </w:t>
      </w:r>
      <w:r>
        <w:rPr>
          <w:sz w:val="20"/>
        </w:rPr>
        <w:t>foreign</w:t>
      </w:r>
      <w:r>
        <w:rPr>
          <w:spacing w:val="-14"/>
          <w:sz w:val="20"/>
        </w:rPr>
        <w:t> </w:t>
      </w:r>
      <w:r>
        <w:rPr>
          <w:sz w:val="20"/>
        </w:rPr>
        <w:t>country</w:t>
      </w:r>
      <w:r>
        <w:rPr>
          <w:spacing w:val="-14"/>
          <w:sz w:val="20"/>
        </w:rPr>
        <w:t> </w:t>
      </w:r>
      <w:r>
        <w:rPr>
          <w:sz w:val="20"/>
        </w:rPr>
        <w:t>or</w:t>
      </w:r>
      <w:r>
        <w:rPr>
          <w:spacing w:val="-14"/>
          <w:sz w:val="20"/>
        </w:rPr>
        <w:t> </w:t>
      </w:r>
      <w:r>
        <w:rPr>
          <w:sz w:val="20"/>
        </w:rPr>
        <w:t>U.S.</w:t>
      </w:r>
      <w:r>
        <w:rPr>
          <w:spacing w:val="-14"/>
          <w:sz w:val="20"/>
        </w:rPr>
        <w:t> </w:t>
      </w:r>
      <w:r>
        <w:rPr>
          <w:sz w:val="20"/>
        </w:rPr>
        <w:t>possession for</w:t>
      </w:r>
      <w:r>
        <w:rPr>
          <w:spacing w:val="-6"/>
          <w:sz w:val="20"/>
        </w:rPr>
        <w:t> </w:t>
      </w:r>
      <w:r>
        <w:rPr>
          <w:sz w:val="20"/>
        </w:rPr>
        <w:t>which</w:t>
      </w:r>
      <w:r>
        <w:rPr>
          <w:spacing w:val="-6"/>
          <w:sz w:val="20"/>
        </w:rPr>
        <w:t> </w:t>
      </w:r>
      <w:r>
        <w:rPr>
          <w:sz w:val="20"/>
        </w:rPr>
        <w:t>the</w:t>
      </w:r>
      <w:r>
        <w:rPr>
          <w:spacing w:val="-6"/>
          <w:sz w:val="20"/>
        </w:rPr>
        <w:t> </w:t>
      </w:r>
      <w:r>
        <w:rPr>
          <w:sz w:val="20"/>
        </w:rPr>
        <w:t>foreign</w:t>
      </w:r>
      <w:r>
        <w:rPr>
          <w:spacing w:val="-6"/>
          <w:sz w:val="20"/>
        </w:rPr>
        <w:t> </w:t>
      </w:r>
      <w:r>
        <w:rPr>
          <w:sz w:val="20"/>
        </w:rPr>
        <w:t>tax</w:t>
      </w:r>
      <w:r>
        <w:rPr>
          <w:spacing w:val="-6"/>
          <w:sz w:val="20"/>
        </w:rPr>
        <w:t> </w:t>
      </w:r>
      <w:r>
        <w:rPr>
          <w:sz w:val="20"/>
        </w:rPr>
        <w:t>was</w:t>
      </w:r>
      <w:r>
        <w:rPr>
          <w:spacing w:val="-6"/>
          <w:sz w:val="20"/>
        </w:rPr>
        <w:t> </w:t>
      </w:r>
      <w:r>
        <w:rPr>
          <w:sz w:val="20"/>
        </w:rPr>
        <w:t>paid</w:t>
      </w:r>
      <w:r>
        <w:rPr>
          <w:spacing w:val="-6"/>
          <w:sz w:val="20"/>
        </w:rPr>
        <w:t> </w:t>
      </w:r>
      <w:r>
        <w:rPr>
          <w:sz w:val="20"/>
        </w:rPr>
        <w:t>and</w:t>
      </w:r>
      <w:r>
        <w:rPr>
          <w:spacing w:val="-6"/>
          <w:sz w:val="20"/>
        </w:rPr>
        <w:t> </w:t>
      </w:r>
      <w:r>
        <w:rPr>
          <w:sz w:val="20"/>
        </w:rPr>
        <w:t>reported</w:t>
      </w:r>
      <w:r>
        <w:rPr>
          <w:spacing w:val="-6"/>
          <w:sz w:val="20"/>
        </w:rPr>
        <w:t> </w:t>
      </w:r>
      <w:r>
        <w:rPr>
          <w:sz w:val="20"/>
        </w:rPr>
        <w:t>in</w:t>
      </w:r>
      <w:r>
        <w:rPr>
          <w:spacing w:val="-7"/>
          <w:sz w:val="20"/>
        </w:rPr>
        <w:t> </w:t>
      </w:r>
      <w:hyperlink w:history="true" w:anchor="_bookmark19">
        <w:r>
          <w:rPr>
            <w:color w:val="0056A2"/>
            <w:sz w:val="20"/>
            <w:u w:val="single" w:color="0055A1"/>
          </w:rPr>
          <w:t>box</w:t>
        </w:r>
        <w:r>
          <w:rPr>
            <w:color w:val="0056A2"/>
            <w:spacing w:val="-6"/>
            <w:sz w:val="20"/>
            <w:u w:val="single" w:color="0055A1"/>
          </w:rPr>
          <w:t> </w:t>
        </w:r>
        <w:r>
          <w:rPr>
            <w:color w:val="0056A2"/>
            <w:sz w:val="20"/>
            <w:u w:val="single" w:color="0055A1"/>
          </w:rPr>
          <w:t>7</w:t>
        </w:r>
      </w:hyperlink>
      <w:r>
        <w:rPr>
          <w:sz w:val="20"/>
        </w:rPr>
        <w:t>.</w:t>
      </w:r>
    </w:p>
    <w:p>
      <w:pPr>
        <w:pStyle w:val="BodyText"/>
        <w:spacing w:line="230" w:lineRule="auto" w:before="70"/>
        <w:ind w:right="60"/>
      </w:pPr>
      <w:r>
        <w:rPr>
          <w:rFonts w:ascii="Arial Black" w:hAnsi="Arial Black"/>
          <w:spacing w:val="-6"/>
        </w:rPr>
        <w:t>RICs—Special</w:t>
      </w:r>
      <w:r>
        <w:rPr>
          <w:rFonts w:ascii="Arial Black" w:hAnsi="Arial Black"/>
          <w:spacing w:val="-13"/>
        </w:rPr>
        <w:t> </w:t>
      </w:r>
      <w:r>
        <w:rPr>
          <w:rFonts w:ascii="Arial Black" w:hAnsi="Arial Black"/>
          <w:spacing w:val="-6"/>
        </w:rPr>
        <w:t>reporting</w:t>
      </w:r>
      <w:r>
        <w:rPr>
          <w:rFonts w:ascii="Arial Black" w:hAnsi="Arial Black"/>
          <w:spacing w:val="-13"/>
        </w:rPr>
        <w:t> </w:t>
      </w:r>
      <w:r>
        <w:rPr>
          <w:rFonts w:ascii="Arial Black" w:hAnsi="Arial Black"/>
          <w:spacing w:val="-6"/>
        </w:rPr>
        <w:t>instructions.</w:t>
      </w:r>
      <w:r>
        <w:rPr>
          <w:rFonts w:ascii="Arial Black" w:hAnsi="Arial Black"/>
          <w:spacing w:val="-4"/>
        </w:rPr>
        <w:t> </w:t>
      </w:r>
      <w:r>
        <w:rPr>
          <w:spacing w:val="-6"/>
        </w:rPr>
        <w:t>Do</w:t>
      </w:r>
      <w:r>
        <w:rPr>
          <w:spacing w:val="-8"/>
        </w:rPr>
        <w:t> </w:t>
      </w:r>
      <w:r>
        <w:rPr>
          <w:spacing w:val="-6"/>
        </w:rPr>
        <w:t>not </w:t>
      </w:r>
      <w:r>
        <w:rPr/>
        <w:t>complete box 8. Under Regulations section 1.853-4, country-by-country reporting to shareholders for the amount</w:t>
      </w:r>
      <w:r>
        <w:rPr>
          <w:spacing w:val="-13"/>
        </w:rPr>
        <w:t> </w:t>
      </w:r>
      <w:r>
        <w:rPr/>
        <w:t>reported</w:t>
      </w:r>
      <w:r>
        <w:rPr>
          <w:spacing w:val="-13"/>
        </w:rPr>
        <w:t> </w:t>
      </w:r>
      <w:r>
        <w:rPr/>
        <w:t>in</w:t>
      </w:r>
      <w:r>
        <w:rPr>
          <w:spacing w:val="-14"/>
        </w:rPr>
        <w:t> </w:t>
      </w:r>
      <w:hyperlink w:history="true" w:anchor="_bookmark19">
        <w:r>
          <w:rPr>
            <w:color w:val="0056A2"/>
            <w:u w:val="single" w:color="0055A1"/>
          </w:rPr>
          <w:t>box</w:t>
        </w:r>
        <w:r>
          <w:rPr>
            <w:color w:val="0056A2"/>
            <w:spacing w:val="-13"/>
            <w:u w:val="single" w:color="0055A1"/>
          </w:rPr>
          <w:t> </w:t>
        </w:r>
        <w:r>
          <w:rPr>
            <w:color w:val="0056A2"/>
            <w:u w:val="single" w:color="0055A1"/>
          </w:rPr>
          <w:t>7</w:t>
        </w:r>
      </w:hyperlink>
      <w:r>
        <w:rPr>
          <w:color w:val="0056A2"/>
          <w:spacing w:val="-13"/>
        </w:rPr>
        <w:t> </w:t>
      </w:r>
      <w:r>
        <w:rPr/>
        <w:t>is</w:t>
      </w:r>
      <w:r>
        <w:rPr>
          <w:spacing w:val="-13"/>
        </w:rPr>
        <w:t> </w:t>
      </w:r>
      <w:r>
        <w:rPr/>
        <w:t>not</w:t>
      </w:r>
      <w:r>
        <w:rPr>
          <w:spacing w:val="-13"/>
        </w:rPr>
        <w:t> </w:t>
      </w:r>
      <w:r>
        <w:rPr/>
        <w:t>required.</w:t>
      </w:r>
      <w:r>
        <w:rPr>
          <w:spacing w:val="-13"/>
        </w:rPr>
        <w:t> </w:t>
      </w:r>
      <w:r>
        <w:rPr/>
        <w:t>The</w:t>
      </w:r>
      <w:r>
        <w:rPr>
          <w:spacing w:val="-13"/>
        </w:rPr>
        <w:t> </w:t>
      </w:r>
      <w:r>
        <w:rPr/>
        <w:t>requirement to</w:t>
      </w:r>
      <w:r>
        <w:rPr>
          <w:spacing w:val="-4"/>
        </w:rPr>
        <w:t> </w:t>
      </w:r>
      <w:r>
        <w:rPr/>
        <w:t>file</w:t>
      </w:r>
      <w:r>
        <w:rPr>
          <w:spacing w:val="-4"/>
        </w:rPr>
        <w:t> </w:t>
      </w:r>
      <w:r>
        <w:rPr/>
        <w:t>a</w:t>
      </w:r>
      <w:r>
        <w:rPr>
          <w:spacing w:val="-4"/>
        </w:rPr>
        <w:t> </w:t>
      </w:r>
      <w:r>
        <w:rPr/>
        <w:t>separate</w:t>
      </w:r>
      <w:r>
        <w:rPr>
          <w:spacing w:val="-4"/>
        </w:rPr>
        <w:t> </w:t>
      </w:r>
      <w:r>
        <w:rPr/>
        <w:t>statement</w:t>
      </w:r>
      <w:r>
        <w:rPr>
          <w:spacing w:val="-4"/>
        </w:rPr>
        <w:t> </w:t>
      </w:r>
      <w:r>
        <w:rPr/>
        <w:t>to</w:t>
      </w:r>
      <w:r>
        <w:rPr>
          <w:spacing w:val="-4"/>
        </w:rPr>
        <w:t> </w:t>
      </w:r>
      <w:r>
        <w:rPr/>
        <w:t>the</w:t>
      </w:r>
      <w:r>
        <w:rPr>
          <w:spacing w:val="-4"/>
        </w:rPr>
        <w:t> </w:t>
      </w:r>
      <w:r>
        <w:rPr/>
        <w:t>IRS</w:t>
      </w:r>
      <w:r>
        <w:rPr>
          <w:spacing w:val="-4"/>
        </w:rPr>
        <w:t> </w:t>
      </w:r>
      <w:r>
        <w:rPr/>
        <w:t>has</w:t>
      </w:r>
      <w:r>
        <w:rPr>
          <w:spacing w:val="-4"/>
        </w:rPr>
        <w:t> </w:t>
      </w:r>
      <w:r>
        <w:rPr/>
        <w:t>been</w:t>
      </w:r>
      <w:r>
        <w:rPr>
          <w:spacing w:val="-4"/>
        </w:rPr>
        <w:t> </w:t>
      </w:r>
      <w:r>
        <w:rPr/>
        <w:t>modified to require filing a statement that elects the application of section</w:t>
      </w:r>
      <w:r>
        <w:rPr>
          <w:spacing w:val="-14"/>
        </w:rPr>
        <w:t> </w:t>
      </w:r>
      <w:r>
        <w:rPr/>
        <w:t>853</w:t>
      </w:r>
      <w:r>
        <w:rPr>
          <w:spacing w:val="-14"/>
        </w:rPr>
        <w:t> </w:t>
      </w:r>
      <w:r>
        <w:rPr/>
        <w:t>for</w:t>
      </w:r>
      <w:r>
        <w:rPr>
          <w:spacing w:val="-14"/>
        </w:rPr>
        <w:t> </w:t>
      </w:r>
      <w:r>
        <w:rPr/>
        <w:t>the</w:t>
      </w:r>
      <w:r>
        <w:rPr>
          <w:spacing w:val="-14"/>
        </w:rPr>
        <w:t> </w:t>
      </w:r>
      <w:r>
        <w:rPr/>
        <w:t>tax</w:t>
      </w:r>
      <w:r>
        <w:rPr>
          <w:spacing w:val="-14"/>
        </w:rPr>
        <w:t> </w:t>
      </w:r>
      <w:r>
        <w:rPr/>
        <w:t>year</w:t>
      </w:r>
      <w:r>
        <w:rPr>
          <w:spacing w:val="-14"/>
        </w:rPr>
        <w:t> </w:t>
      </w:r>
      <w:r>
        <w:rPr/>
        <w:t>with</w:t>
      </w:r>
      <w:r>
        <w:rPr>
          <w:spacing w:val="-14"/>
        </w:rPr>
        <w:t> </w:t>
      </w:r>
      <w:r>
        <w:rPr/>
        <w:t>the</w:t>
      </w:r>
      <w:r>
        <w:rPr>
          <w:spacing w:val="-14"/>
        </w:rPr>
        <w:t> </w:t>
      </w:r>
      <w:r>
        <w:rPr/>
        <w:t>return</w:t>
      </w:r>
      <w:r>
        <w:rPr>
          <w:spacing w:val="-14"/>
        </w:rPr>
        <w:t> </w:t>
      </w:r>
      <w:r>
        <w:rPr/>
        <w:t>for</w:t>
      </w:r>
      <w:r>
        <w:rPr>
          <w:spacing w:val="-13"/>
        </w:rPr>
        <w:t> </w:t>
      </w:r>
      <w:r>
        <w:rPr/>
        <w:t>the</w:t>
      </w:r>
      <w:r>
        <w:rPr>
          <w:spacing w:val="-14"/>
        </w:rPr>
        <w:t> </w:t>
      </w:r>
      <w:r>
        <w:rPr/>
        <w:t>tax</w:t>
      </w:r>
      <w:r>
        <w:rPr>
          <w:spacing w:val="-14"/>
        </w:rPr>
        <w:t> </w:t>
      </w:r>
      <w:r>
        <w:rPr/>
        <w:t>year. See</w:t>
      </w:r>
      <w:r>
        <w:rPr>
          <w:spacing w:val="-14"/>
        </w:rPr>
        <w:t> </w:t>
      </w:r>
      <w:r>
        <w:rPr/>
        <w:t>Regulations</w:t>
      </w:r>
      <w:r>
        <w:rPr>
          <w:spacing w:val="-14"/>
        </w:rPr>
        <w:t> </w:t>
      </w:r>
      <w:r>
        <w:rPr/>
        <w:t>section</w:t>
      </w:r>
      <w:r>
        <w:rPr>
          <w:spacing w:val="-13"/>
        </w:rPr>
        <w:t> </w:t>
      </w:r>
      <w:r>
        <w:rPr/>
        <w:t>1.853-4</w:t>
      </w:r>
      <w:r>
        <w:rPr>
          <w:spacing w:val="-14"/>
        </w:rPr>
        <w:t> </w:t>
      </w:r>
      <w:r>
        <w:rPr/>
        <w:t>for</w:t>
      </w:r>
      <w:r>
        <w:rPr>
          <w:spacing w:val="-14"/>
        </w:rPr>
        <w:t> </w:t>
      </w:r>
      <w:r>
        <w:rPr/>
        <w:t>more</w:t>
      </w:r>
      <w:r>
        <w:rPr>
          <w:spacing w:val="-13"/>
        </w:rPr>
        <w:t> </w:t>
      </w:r>
      <w:r>
        <w:rPr/>
        <w:t>information.</w:t>
      </w:r>
      <w:r>
        <w:rPr>
          <w:spacing w:val="-14"/>
        </w:rPr>
        <w:t> </w:t>
      </w:r>
      <w:r>
        <w:rPr/>
        <w:t>Do not send the statement with the Forms 1096 and 1099.</w:t>
      </w:r>
    </w:p>
    <w:p>
      <w:pPr>
        <w:spacing w:line="232" w:lineRule="auto" w:before="138"/>
        <w:ind w:left="815" w:right="227" w:firstLine="0"/>
        <w:jc w:val="left"/>
        <w:rPr>
          <w:rFonts w:ascii="Arial"/>
          <w:i/>
          <w:sz w:val="20"/>
        </w:rPr>
      </w:pPr>
      <w:r>
        <w:rPr/>
        <w:br w:type="column"/>
      </w:r>
      <w:r>
        <w:rPr>
          <w:rFonts w:ascii="Arial"/>
          <w:i/>
          <w:sz w:val="20"/>
        </w:rPr>
        <w:t>Boxes</w:t>
      </w:r>
      <w:r>
        <w:rPr>
          <w:rFonts w:ascii="Arial"/>
          <w:i/>
          <w:spacing w:val="-3"/>
          <w:sz w:val="20"/>
        </w:rPr>
        <w:t> </w:t>
      </w:r>
      <w:hyperlink w:history="true" w:anchor="_bookmark15">
        <w:r>
          <w:rPr>
            <w:rFonts w:ascii="Arial"/>
            <w:i/>
            <w:color w:val="0056A2"/>
            <w:sz w:val="20"/>
            <w:u w:val="single" w:color="0055A1"/>
          </w:rPr>
          <w:t>9</w:t>
        </w:r>
      </w:hyperlink>
      <w:r>
        <w:rPr>
          <w:rFonts w:ascii="Arial"/>
          <w:i/>
          <w:color w:val="0056A2"/>
          <w:spacing w:val="-3"/>
          <w:sz w:val="20"/>
        </w:rPr>
        <w:t> </w:t>
      </w:r>
      <w:r>
        <w:rPr>
          <w:rFonts w:ascii="Arial"/>
          <w:i/>
          <w:sz w:val="20"/>
        </w:rPr>
        <w:t>and</w:t>
      </w:r>
      <w:r>
        <w:rPr>
          <w:rFonts w:ascii="Arial"/>
          <w:i/>
          <w:spacing w:val="-3"/>
          <w:sz w:val="20"/>
        </w:rPr>
        <w:t> </w:t>
      </w:r>
      <w:hyperlink w:history="true" w:anchor="_bookmark16">
        <w:r>
          <w:rPr>
            <w:rFonts w:ascii="Arial"/>
            <w:i/>
            <w:color w:val="0056A2"/>
            <w:sz w:val="20"/>
            <w:u w:val="single" w:color="0055A1"/>
          </w:rPr>
          <w:t>10</w:t>
        </w:r>
      </w:hyperlink>
      <w:r>
        <w:rPr>
          <w:rFonts w:ascii="Arial"/>
          <w:i/>
          <w:color w:val="0056A2"/>
          <w:spacing w:val="-3"/>
          <w:sz w:val="20"/>
        </w:rPr>
        <w:t> </w:t>
      </w:r>
      <w:r>
        <w:rPr>
          <w:rFonts w:ascii="Arial"/>
          <w:i/>
          <w:sz w:val="20"/>
        </w:rPr>
        <w:t>apply</w:t>
      </w:r>
      <w:r>
        <w:rPr>
          <w:rFonts w:ascii="Arial"/>
          <w:i/>
          <w:spacing w:val="-3"/>
          <w:sz w:val="20"/>
        </w:rPr>
        <w:t> </w:t>
      </w:r>
      <w:r>
        <w:rPr>
          <w:rFonts w:ascii="Arial"/>
          <w:i/>
          <w:sz w:val="20"/>
        </w:rPr>
        <w:t>only</w:t>
      </w:r>
      <w:r>
        <w:rPr>
          <w:rFonts w:ascii="Arial"/>
          <w:i/>
          <w:spacing w:val="-3"/>
          <w:sz w:val="20"/>
        </w:rPr>
        <w:t> </w:t>
      </w:r>
      <w:r>
        <w:rPr>
          <w:rFonts w:ascii="Arial"/>
          <w:i/>
          <w:sz w:val="20"/>
        </w:rPr>
        <w:t>to</w:t>
      </w:r>
      <w:r>
        <w:rPr>
          <w:rFonts w:ascii="Arial"/>
          <w:i/>
          <w:spacing w:val="-3"/>
          <w:sz w:val="20"/>
        </w:rPr>
        <w:t> </w:t>
      </w:r>
      <w:r>
        <w:rPr>
          <w:rFonts w:ascii="Arial"/>
          <w:i/>
          <w:sz w:val="20"/>
        </w:rPr>
        <w:t>corporations</w:t>
      </w:r>
      <w:r>
        <w:rPr>
          <w:rFonts w:ascii="Arial"/>
          <w:i/>
          <w:spacing w:val="-3"/>
          <w:sz w:val="20"/>
        </w:rPr>
        <w:t> </w:t>
      </w:r>
      <w:r>
        <w:rPr>
          <w:rFonts w:ascii="Arial"/>
          <w:i/>
          <w:sz w:val="20"/>
        </w:rPr>
        <w:t>in partial</w:t>
      </w:r>
      <w:r>
        <w:rPr>
          <w:rFonts w:ascii="Arial"/>
          <w:i/>
          <w:spacing w:val="-13"/>
          <w:sz w:val="20"/>
        </w:rPr>
        <w:t> </w:t>
      </w:r>
      <w:r>
        <w:rPr>
          <w:rFonts w:ascii="Arial"/>
          <w:i/>
          <w:sz w:val="20"/>
        </w:rPr>
        <w:t>or</w:t>
      </w:r>
      <w:r>
        <w:rPr>
          <w:rFonts w:ascii="Arial"/>
          <w:i/>
          <w:spacing w:val="-13"/>
          <w:sz w:val="20"/>
        </w:rPr>
        <w:t> </w:t>
      </w:r>
      <w:r>
        <w:rPr>
          <w:rFonts w:ascii="Arial"/>
          <w:i/>
          <w:sz w:val="20"/>
        </w:rPr>
        <w:t>complete</w:t>
      </w:r>
      <w:r>
        <w:rPr>
          <w:rFonts w:ascii="Arial"/>
          <w:i/>
          <w:spacing w:val="-13"/>
          <w:sz w:val="20"/>
        </w:rPr>
        <w:t> </w:t>
      </w:r>
      <w:r>
        <w:rPr>
          <w:rFonts w:ascii="Arial"/>
          <w:i/>
          <w:sz w:val="20"/>
        </w:rPr>
        <w:t>liquidation.</w:t>
      </w:r>
      <w:r>
        <w:rPr>
          <w:rFonts w:ascii="Arial"/>
          <w:i/>
          <w:spacing w:val="-13"/>
          <w:sz w:val="20"/>
        </w:rPr>
        <w:t> </w:t>
      </w:r>
      <w:r>
        <w:rPr>
          <w:rFonts w:ascii="Arial"/>
          <w:i/>
          <w:sz w:val="20"/>
        </w:rPr>
        <w:t>Do</w:t>
      </w:r>
      <w:r>
        <w:rPr>
          <w:rFonts w:ascii="Arial"/>
          <w:i/>
          <w:spacing w:val="-13"/>
          <w:sz w:val="20"/>
        </w:rPr>
        <w:t> </w:t>
      </w:r>
      <w:r>
        <w:rPr>
          <w:rFonts w:ascii="Arial"/>
          <w:i/>
          <w:sz w:val="20"/>
        </w:rPr>
        <w:t>not</w:t>
      </w:r>
      <w:r>
        <w:rPr>
          <w:rFonts w:ascii="Arial"/>
          <w:i/>
          <w:spacing w:val="-13"/>
          <w:sz w:val="20"/>
        </w:rPr>
        <w:t> </w:t>
      </w:r>
      <w:r>
        <w:rPr>
          <w:rFonts w:ascii="Arial"/>
          <w:i/>
          <w:sz w:val="20"/>
        </w:rPr>
        <w:t>include these amounts in box </w:t>
      </w:r>
      <w:hyperlink w:history="true" w:anchor="_bookmark14">
        <w:r>
          <w:rPr>
            <w:rFonts w:ascii="Arial"/>
            <w:i/>
            <w:color w:val="0056A2"/>
            <w:sz w:val="20"/>
            <w:u w:val="single" w:color="0055A1"/>
          </w:rPr>
          <w:t>1a</w:t>
        </w:r>
      </w:hyperlink>
      <w:r>
        <w:rPr>
          <w:rFonts w:ascii="Arial"/>
          <w:i/>
          <w:color w:val="0056A2"/>
          <w:sz w:val="20"/>
        </w:rPr>
        <w:t> </w:t>
      </w:r>
      <w:r>
        <w:rPr>
          <w:rFonts w:ascii="Arial"/>
          <w:i/>
          <w:sz w:val="20"/>
        </w:rPr>
        <w:t>or </w:t>
      </w:r>
      <w:hyperlink w:history="true" w:anchor="_bookmark7">
        <w:r>
          <w:rPr>
            <w:rFonts w:ascii="Arial"/>
            <w:i/>
            <w:color w:val="0056A2"/>
            <w:sz w:val="20"/>
            <w:u w:val="single" w:color="0055A1"/>
          </w:rPr>
          <w:t>1b</w:t>
        </w:r>
      </w:hyperlink>
      <w:r>
        <w:rPr>
          <w:rFonts w:ascii="Arial"/>
          <w:i/>
          <w:sz w:val="20"/>
        </w:rPr>
        <w:t>.</w:t>
      </w:r>
    </w:p>
    <w:p>
      <w:pPr>
        <w:pStyle w:val="Heading2"/>
        <w:spacing w:before="225"/>
        <w:ind w:left="119"/>
      </w:pPr>
      <w:r>
        <w:rPr/>
        <mc:AlternateContent>
          <mc:Choice Requires="wps">
            <w:drawing>
              <wp:anchor distT="0" distB="0" distL="0" distR="0" allowOverlap="1" layoutInCell="1" locked="0" behindDoc="0" simplePos="0" relativeHeight="15735296">
                <wp:simplePos x="0" y="0"/>
                <wp:positionH relativeFrom="page">
                  <wp:posOffset>4000500</wp:posOffset>
                </wp:positionH>
                <wp:positionV relativeFrom="paragraph">
                  <wp:posOffset>-403379</wp:posOffset>
                </wp:positionV>
                <wp:extent cx="387350" cy="38735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387350" cy="387350"/>
                          <a:chExt cx="387350" cy="387350"/>
                        </a:xfrm>
                      </wpg:grpSpPr>
                      <wps:wsp>
                        <wps:cNvPr id="60" name="Graphic 60"/>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62" name="Textbox 62"/>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63" name="Textbox 63"/>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315pt;margin-top:-31.762163pt;width:30.5pt;height:30.5pt;mso-position-horizontal-relative:page;mso-position-vertical-relative:paragraph;z-index:15735296" id="docshapegroup58" coordorigin="6300,-635" coordsize="610,610">
                <v:shape style="position:absolute;left:6300;top:-636;width:610;height:610" id="docshape59" coordorigin="6300,-635" coordsize="610,610" path="m6871,-635l6338,-635,6323,-632,6311,-624,6303,-612,6300,-597,6300,-64,6303,-49,6311,-37,6323,-29,6338,-26,6871,-26,6886,-29,6898,-37,6906,-49,6909,-64,6909,-597,6906,-612,6898,-624,6886,-632,6871,-635xe" filled="true" fillcolor="#000000" stroked="false">
                  <v:path arrowok="t"/>
                  <v:fill type="solid"/>
                </v:shape>
                <v:shape style="position:absolute;left:6367;top:-568;width:474;height:407" id="docshape60" coordorigin="6368,-568" coordsize="474,407" path="m6605,-568l6368,-161,6842,-161,6605,-568xe" filled="true" fillcolor="#ffffff" stroked="false">
                  <v:path arrowok="t"/>
                  <v:fill type="solid"/>
                </v:shape>
                <v:shape style="position:absolute;left:6328;top:-165;width:563;height:131" type="#_x0000_t202" id="docshape61"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36;top:-554;width:144;height:444" type="#_x0000_t202" id="docshape62"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w w:val="85"/>
        </w:rPr>
        <w:t>Box</w:t>
      </w:r>
      <w:r>
        <w:rPr/>
        <w:t> </w:t>
      </w:r>
      <w:r>
        <w:rPr>
          <w:w w:val="85"/>
        </w:rPr>
        <w:t>9.</w:t>
      </w:r>
      <w:r>
        <w:rPr>
          <w:spacing w:val="1"/>
        </w:rPr>
        <w:t> </w:t>
      </w:r>
      <w:r>
        <w:rPr>
          <w:w w:val="85"/>
        </w:rPr>
        <w:t>Cash</w:t>
      </w:r>
      <w:r>
        <w:rPr/>
        <w:t> </w:t>
      </w:r>
      <w:r>
        <w:rPr>
          <w:w w:val="85"/>
        </w:rPr>
        <w:t>Liquidation</w:t>
      </w:r>
      <w:r>
        <w:rPr>
          <w:spacing w:val="1"/>
        </w:rPr>
        <w:t> </w:t>
      </w:r>
      <w:r>
        <w:rPr>
          <w:spacing w:val="-2"/>
          <w:w w:val="85"/>
        </w:rPr>
        <w:t>Distributions</w:t>
      </w:r>
    </w:p>
    <w:p>
      <w:pPr>
        <w:pStyle w:val="BodyText"/>
        <w:spacing w:before="22"/>
        <w:ind w:left="119"/>
      </w:pPr>
      <w:r>
        <w:rPr/>
        <w:t>Enter</w:t>
      </w:r>
      <w:r>
        <w:rPr>
          <w:spacing w:val="-10"/>
        </w:rPr>
        <w:t> </w:t>
      </w:r>
      <w:r>
        <w:rPr/>
        <w:t>cash</w:t>
      </w:r>
      <w:r>
        <w:rPr>
          <w:spacing w:val="-9"/>
        </w:rPr>
        <w:t> </w:t>
      </w:r>
      <w:r>
        <w:rPr/>
        <w:t>distributed</w:t>
      </w:r>
      <w:r>
        <w:rPr>
          <w:spacing w:val="-9"/>
        </w:rPr>
        <w:t> </w:t>
      </w:r>
      <w:r>
        <w:rPr/>
        <w:t>as</w:t>
      </w:r>
      <w:r>
        <w:rPr>
          <w:spacing w:val="-9"/>
        </w:rPr>
        <w:t> </w:t>
      </w:r>
      <w:r>
        <w:rPr/>
        <w:t>part</w:t>
      </w:r>
      <w:r>
        <w:rPr>
          <w:spacing w:val="-9"/>
        </w:rPr>
        <w:t> </w:t>
      </w:r>
      <w:r>
        <w:rPr/>
        <w:t>of</w:t>
      </w:r>
      <w:r>
        <w:rPr>
          <w:spacing w:val="-9"/>
        </w:rPr>
        <w:t> </w:t>
      </w:r>
      <w:r>
        <w:rPr/>
        <w:t>a</w:t>
      </w:r>
      <w:r>
        <w:rPr>
          <w:spacing w:val="-9"/>
        </w:rPr>
        <w:t> </w:t>
      </w:r>
      <w:r>
        <w:rPr>
          <w:spacing w:val="-2"/>
        </w:rPr>
        <w:t>liquidation.</w:t>
      </w:r>
    </w:p>
    <w:p>
      <w:pPr>
        <w:spacing w:line="244" w:lineRule="auto" w:before="122"/>
        <w:ind w:left="120" w:right="227" w:hanging="1"/>
        <w:jc w:val="left"/>
        <w:rPr>
          <w:sz w:val="20"/>
        </w:rPr>
      </w:pPr>
      <w:r>
        <w:rPr>
          <w:rFonts w:ascii="Arial Black"/>
          <w:w w:val="90"/>
          <w:sz w:val="22"/>
        </w:rPr>
        <w:t>Box 10. Noncash Liquidation Distributions</w:t>
      </w:r>
      <w:r>
        <w:rPr>
          <w:rFonts w:ascii="Arial Black"/>
          <w:w w:val="90"/>
          <w:sz w:val="22"/>
        </w:rPr>
        <w:t> </w:t>
      </w:r>
      <w:r>
        <w:rPr>
          <w:sz w:val="20"/>
        </w:rPr>
        <w:t>Enter</w:t>
      </w:r>
      <w:r>
        <w:rPr>
          <w:spacing w:val="-13"/>
          <w:sz w:val="20"/>
        </w:rPr>
        <w:t> </w:t>
      </w:r>
      <w:r>
        <w:rPr>
          <w:sz w:val="20"/>
        </w:rPr>
        <w:t>noncash</w:t>
      </w:r>
      <w:r>
        <w:rPr>
          <w:spacing w:val="-13"/>
          <w:sz w:val="20"/>
        </w:rPr>
        <w:t> </w:t>
      </w:r>
      <w:r>
        <w:rPr>
          <w:sz w:val="20"/>
        </w:rPr>
        <w:t>distributions</w:t>
      </w:r>
      <w:r>
        <w:rPr>
          <w:spacing w:val="-13"/>
          <w:sz w:val="20"/>
        </w:rPr>
        <w:t> </w:t>
      </w:r>
      <w:r>
        <w:rPr>
          <w:sz w:val="20"/>
        </w:rPr>
        <w:t>made</w:t>
      </w:r>
      <w:r>
        <w:rPr>
          <w:spacing w:val="-13"/>
          <w:sz w:val="20"/>
        </w:rPr>
        <w:t> </w:t>
      </w:r>
      <w:r>
        <w:rPr>
          <w:sz w:val="20"/>
        </w:rPr>
        <w:t>as</w:t>
      </w:r>
      <w:r>
        <w:rPr>
          <w:spacing w:val="-13"/>
          <w:sz w:val="20"/>
        </w:rPr>
        <w:t> </w:t>
      </w:r>
      <w:r>
        <w:rPr>
          <w:sz w:val="20"/>
        </w:rPr>
        <w:t>part</w:t>
      </w:r>
      <w:r>
        <w:rPr>
          <w:spacing w:val="-13"/>
          <w:sz w:val="20"/>
        </w:rPr>
        <w:t> </w:t>
      </w:r>
      <w:r>
        <w:rPr>
          <w:sz w:val="20"/>
        </w:rPr>
        <w:t>of</w:t>
      </w:r>
      <w:r>
        <w:rPr>
          <w:spacing w:val="-13"/>
          <w:sz w:val="20"/>
        </w:rPr>
        <w:t> </w:t>
      </w:r>
      <w:r>
        <w:rPr>
          <w:sz w:val="20"/>
        </w:rPr>
        <w:t>a</w:t>
      </w:r>
      <w:r>
        <w:rPr>
          <w:spacing w:val="-13"/>
          <w:sz w:val="20"/>
        </w:rPr>
        <w:t> </w:t>
      </w:r>
      <w:r>
        <w:rPr>
          <w:sz w:val="20"/>
        </w:rPr>
        <w:t>liquidation. Show the fair market value as of the date of distribution.</w:t>
      </w:r>
    </w:p>
    <w:p>
      <w:pPr>
        <w:pStyle w:val="Heading2"/>
        <w:spacing w:before="123"/>
      </w:pPr>
      <w:r>
        <w:rPr>
          <w:w w:val="85"/>
        </w:rPr>
        <w:t>Box</w:t>
      </w:r>
      <w:r>
        <w:rPr>
          <w:spacing w:val="-2"/>
          <w:w w:val="85"/>
        </w:rPr>
        <w:t> </w:t>
      </w:r>
      <w:r>
        <w:rPr>
          <w:w w:val="85"/>
        </w:rPr>
        <w:t>11.</w:t>
      </w:r>
      <w:r>
        <w:rPr>
          <w:spacing w:val="-1"/>
          <w:w w:val="85"/>
        </w:rPr>
        <w:t> </w:t>
      </w:r>
      <w:r>
        <w:rPr>
          <w:w w:val="85"/>
        </w:rPr>
        <w:t>FATCA</w:t>
      </w:r>
      <w:r>
        <w:rPr>
          <w:spacing w:val="-1"/>
          <w:w w:val="85"/>
        </w:rPr>
        <w:t> </w:t>
      </w:r>
      <w:r>
        <w:rPr>
          <w:w w:val="85"/>
        </w:rPr>
        <w:t>Filing</w:t>
      </w:r>
      <w:r>
        <w:rPr>
          <w:spacing w:val="-2"/>
          <w:w w:val="85"/>
        </w:rPr>
        <w:t> Requirement</w:t>
      </w:r>
    </w:p>
    <w:p>
      <w:pPr>
        <w:pStyle w:val="BodyText"/>
        <w:spacing w:line="232" w:lineRule="auto" w:before="27"/>
        <w:ind w:right="119"/>
      </w:pPr>
      <w:r>
        <w:rPr/>
        <w:t>Check the box if you are a U.S. payer that is reporting on Form(s) 1099 (including reporting distributions in boxes 1 through</w:t>
      </w:r>
      <w:r>
        <w:rPr>
          <w:spacing w:val="-11"/>
        </w:rPr>
        <w:t> </w:t>
      </w:r>
      <w:r>
        <w:rPr/>
        <w:t>3</w:t>
      </w:r>
      <w:r>
        <w:rPr>
          <w:spacing w:val="-11"/>
        </w:rPr>
        <w:t> </w:t>
      </w:r>
      <w:r>
        <w:rPr/>
        <w:t>and</w:t>
      </w:r>
      <w:r>
        <w:rPr>
          <w:spacing w:val="-11"/>
        </w:rPr>
        <w:t> </w:t>
      </w:r>
      <w:r>
        <w:rPr/>
        <w:t>9,</w:t>
      </w:r>
      <w:r>
        <w:rPr>
          <w:spacing w:val="-11"/>
        </w:rPr>
        <w:t> </w:t>
      </w:r>
      <w:r>
        <w:rPr/>
        <w:t>10,</w:t>
      </w:r>
      <w:r>
        <w:rPr>
          <w:spacing w:val="-11"/>
        </w:rPr>
        <w:t> </w:t>
      </w:r>
      <w:r>
        <w:rPr/>
        <w:t>12,</w:t>
      </w:r>
      <w:r>
        <w:rPr>
          <w:spacing w:val="-11"/>
        </w:rPr>
        <w:t> </w:t>
      </w:r>
      <w:r>
        <w:rPr/>
        <w:t>and</w:t>
      </w:r>
      <w:r>
        <w:rPr>
          <w:spacing w:val="-11"/>
        </w:rPr>
        <w:t> </w:t>
      </w:r>
      <w:r>
        <w:rPr/>
        <w:t>13</w:t>
      </w:r>
      <w:r>
        <w:rPr>
          <w:spacing w:val="-11"/>
        </w:rPr>
        <w:t> </w:t>
      </w:r>
      <w:r>
        <w:rPr/>
        <w:t>on</w:t>
      </w:r>
      <w:r>
        <w:rPr>
          <w:spacing w:val="-11"/>
        </w:rPr>
        <w:t> </w:t>
      </w:r>
      <w:r>
        <w:rPr/>
        <w:t>this</w:t>
      </w:r>
      <w:r>
        <w:rPr>
          <w:spacing w:val="-11"/>
        </w:rPr>
        <w:t> </w:t>
      </w:r>
      <w:r>
        <w:rPr/>
        <w:t>Form</w:t>
      </w:r>
      <w:r>
        <w:rPr>
          <w:spacing w:val="-11"/>
        </w:rPr>
        <w:t> </w:t>
      </w:r>
      <w:r>
        <w:rPr/>
        <w:t>1099-DIV)</w:t>
      </w:r>
      <w:r>
        <w:rPr>
          <w:spacing w:val="-11"/>
        </w:rPr>
        <w:t> </w:t>
      </w:r>
      <w:r>
        <w:rPr/>
        <w:t>as part</w:t>
      </w:r>
      <w:r>
        <w:rPr>
          <w:spacing w:val="-13"/>
        </w:rPr>
        <w:t> </w:t>
      </w:r>
      <w:r>
        <w:rPr/>
        <w:t>of</w:t>
      </w:r>
      <w:r>
        <w:rPr>
          <w:spacing w:val="-13"/>
        </w:rPr>
        <w:t> </w:t>
      </w:r>
      <w:r>
        <w:rPr/>
        <w:t>satisfying</w:t>
      </w:r>
      <w:r>
        <w:rPr>
          <w:spacing w:val="-13"/>
        </w:rPr>
        <w:t> </w:t>
      </w:r>
      <w:r>
        <w:rPr/>
        <w:t>your</w:t>
      </w:r>
      <w:r>
        <w:rPr>
          <w:spacing w:val="-13"/>
        </w:rPr>
        <w:t> </w:t>
      </w:r>
      <w:r>
        <w:rPr/>
        <w:t>requirement</w:t>
      </w:r>
      <w:r>
        <w:rPr>
          <w:spacing w:val="-13"/>
        </w:rPr>
        <w:t> </w:t>
      </w:r>
      <w:r>
        <w:rPr/>
        <w:t>to</w:t>
      </w:r>
      <w:r>
        <w:rPr>
          <w:spacing w:val="-13"/>
        </w:rPr>
        <w:t> </w:t>
      </w:r>
      <w:r>
        <w:rPr/>
        <w:t>report</w:t>
      </w:r>
      <w:r>
        <w:rPr>
          <w:spacing w:val="-13"/>
        </w:rPr>
        <w:t> </w:t>
      </w:r>
      <w:r>
        <w:rPr/>
        <w:t>with</w:t>
      </w:r>
      <w:r>
        <w:rPr>
          <w:spacing w:val="-13"/>
        </w:rPr>
        <w:t> </w:t>
      </w:r>
      <w:r>
        <w:rPr/>
        <w:t>respect</w:t>
      </w:r>
      <w:r>
        <w:rPr>
          <w:spacing w:val="-13"/>
        </w:rPr>
        <w:t> </w:t>
      </w:r>
      <w:r>
        <w:rPr/>
        <w:t>to a</w:t>
      </w:r>
      <w:r>
        <w:rPr>
          <w:spacing w:val="-13"/>
        </w:rPr>
        <w:t> </w:t>
      </w:r>
      <w:r>
        <w:rPr/>
        <w:t>U.S.</w:t>
      </w:r>
      <w:r>
        <w:rPr>
          <w:spacing w:val="-13"/>
        </w:rPr>
        <w:t> </w:t>
      </w:r>
      <w:r>
        <w:rPr/>
        <w:t>account</w:t>
      </w:r>
      <w:r>
        <w:rPr>
          <w:spacing w:val="-13"/>
        </w:rPr>
        <w:t> </w:t>
      </w:r>
      <w:r>
        <w:rPr/>
        <w:t>for</w:t>
      </w:r>
      <w:r>
        <w:rPr>
          <w:spacing w:val="-13"/>
        </w:rPr>
        <w:t> </w:t>
      </w:r>
      <w:r>
        <w:rPr/>
        <w:t>the</w:t>
      </w:r>
      <w:r>
        <w:rPr>
          <w:spacing w:val="-13"/>
        </w:rPr>
        <w:t> </w:t>
      </w:r>
      <w:r>
        <w:rPr/>
        <w:t>purposes</w:t>
      </w:r>
      <w:r>
        <w:rPr>
          <w:spacing w:val="-13"/>
        </w:rPr>
        <w:t> </w:t>
      </w:r>
      <w:r>
        <w:rPr/>
        <w:t>of</w:t>
      </w:r>
      <w:r>
        <w:rPr>
          <w:spacing w:val="-13"/>
        </w:rPr>
        <w:t> </w:t>
      </w:r>
      <w:r>
        <w:rPr/>
        <w:t>chapter</w:t>
      </w:r>
      <w:r>
        <w:rPr>
          <w:spacing w:val="-13"/>
        </w:rPr>
        <w:t> </w:t>
      </w:r>
      <w:r>
        <w:rPr/>
        <w:t>4</w:t>
      </w:r>
      <w:r>
        <w:rPr>
          <w:spacing w:val="-13"/>
        </w:rPr>
        <w:t> </w:t>
      </w:r>
      <w:r>
        <w:rPr/>
        <w:t>of</w:t>
      </w:r>
      <w:r>
        <w:rPr>
          <w:spacing w:val="-13"/>
        </w:rPr>
        <w:t> </w:t>
      </w:r>
      <w:r>
        <w:rPr/>
        <w:t>the</w:t>
      </w:r>
      <w:r>
        <w:rPr>
          <w:spacing w:val="-13"/>
        </w:rPr>
        <w:t> </w:t>
      </w:r>
      <w:r>
        <w:rPr/>
        <w:t>Internal Revenue Code, as described in Regulations section 1.1471-4(d)(2)(iii)(A).</w:t>
      </w:r>
      <w:r>
        <w:rPr>
          <w:spacing w:val="-2"/>
        </w:rPr>
        <w:t> </w:t>
      </w:r>
      <w:r>
        <w:rPr/>
        <w:t>In</w:t>
      </w:r>
      <w:r>
        <w:rPr>
          <w:spacing w:val="-2"/>
        </w:rPr>
        <w:t> </w:t>
      </w:r>
      <w:r>
        <w:rPr/>
        <w:t>addition,</w:t>
      </w:r>
      <w:r>
        <w:rPr>
          <w:spacing w:val="-2"/>
        </w:rPr>
        <w:t> </w:t>
      </w:r>
      <w:r>
        <w:rPr/>
        <w:t>check</w:t>
      </w:r>
      <w:r>
        <w:rPr>
          <w:spacing w:val="-2"/>
        </w:rPr>
        <w:t> </w:t>
      </w:r>
      <w:r>
        <w:rPr/>
        <w:t>the</w:t>
      </w:r>
      <w:r>
        <w:rPr>
          <w:spacing w:val="-2"/>
        </w:rPr>
        <w:t> </w:t>
      </w:r>
      <w:r>
        <w:rPr/>
        <w:t>box</w:t>
      </w:r>
      <w:r>
        <w:rPr>
          <w:spacing w:val="-2"/>
        </w:rPr>
        <w:t> </w:t>
      </w:r>
      <w:r>
        <w:rPr/>
        <w:t>if</w:t>
      </w:r>
      <w:r>
        <w:rPr>
          <w:spacing w:val="-2"/>
        </w:rPr>
        <w:t> </w:t>
      </w:r>
      <w:r>
        <w:rPr/>
        <w:t>you</w:t>
      </w:r>
      <w:r>
        <w:rPr>
          <w:spacing w:val="-2"/>
        </w:rPr>
        <w:t> </w:t>
      </w:r>
      <w:r>
        <w:rPr/>
        <w:t>are a</w:t>
      </w:r>
      <w:r>
        <w:rPr>
          <w:spacing w:val="-7"/>
        </w:rPr>
        <w:t> </w:t>
      </w:r>
      <w:r>
        <w:rPr/>
        <w:t>foreign</w:t>
      </w:r>
      <w:r>
        <w:rPr>
          <w:spacing w:val="-7"/>
        </w:rPr>
        <w:t> </w:t>
      </w:r>
      <w:r>
        <w:rPr/>
        <w:t>financial</w:t>
      </w:r>
      <w:r>
        <w:rPr>
          <w:spacing w:val="-7"/>
        </w:rPr>
        <w:t> </w:t>
      </w:r>
      <w:r>
        <w:rPr/>
        <w:t>institution</w:t>
      </w:r>
      <w:r>
        <w:rPr>
          <w:spacing w:val="-7"/>
        </w:rPr>
        <w:t> </w:t>
      </w:r>
      <w:r>
        <w:rPr/>
        <w:t>(FFI)</w:t>
      </w:r>
      <w:r>
        <w:rPr>
          <w:spacing w:val="-7"/>
        </w:rPr>
        <w:t> </w:t>
      </w:r>
      <w:r>
        <w:rPr/>
        <w:t>reporting</w:t>
      </w:r>
      <w:r>
        <w:rPr>
          <w:spacing w:val="-7"/>
        </w:rPr>
        <w:t> </w:t>
      </w:r>
      <w:r>
        <w:rPr/>
        <w:t>payments</w:t>
      </w:r>
      <w:r>
        <w:rPr>
          <w:spacing w:val="-7"/>
        </w:rPr>
        <w:t> </w:t>
      </w:r>
      <w:r>
        <w:rPr/>
        <w:t>to</w:t>
      </w:r>
      <w:r>
        <w:rPr>
          <w:spacing w:val="-7"/>
        </w:rPr>
        <w:t> </w:t>
      </w:r>
      <w:r>
        <w:rPr/>
        <w:t>a</w:t>
      </w:r>
    </w:p>
    <w:p>
      <w:pPr>
        <w:pStyle w:val="BodyText"/>
        <w:spacing w:line="232" w:lineRule="auto" w:before="7"/>
        <w:ind w:right="119"/>
      </w:pPr>
      <w:r>
        <w:rPr/>
        <w:t>U.S.</w:t>
      </w:r>
      <w:r>
        <w:rPr>
          <w:spacing w:val="-14"/>
        </w:rPr>
        <w:t> </w:t>
      </w:r>
      <w:r>
        <w:rPr/>
        <w:t>account</w:t>
      </w:r>
      <w:r>
        <w:rPr>
          <w:spacing w:val="-14"/>
        </w:rPr>
        <w:t> </w:t>
      </w:r>
      <w:r>
        <w:rPr/>
        <w:t>pursuant</w:t>
      </w:r>
      <w:r>
        <w:rPr>
          <w:spacing w:val="-14"/>
        </w:rPr>
        <w:t> </w:t>
      </w:r>
      <w:r>
        <w:rPr/>
        <w:t>to</w:t>
      </w:r>
      <w:r>
        <w:rPr>
          <w:spacing w:val="-14"/>
        </w:rPr>
        <w:t> </w:t>
      </w:r>
      <w:r>
        <w:rPr/>
        <w:t>an</w:t>
      </w:r>
      <w:r>
        <w:rPr>
          <w:spacing w:val="-14"/>
        </w:rPr>
        <w:t> </w:t>
      </w:r>
      <w:r>
        <w:rPr/>
        <w:t>election</w:t>
      </w:r>
      <w:r>
        <w:rPr>
          <w:spacing w:val="-14"/>
        </w:rPr>
        <w:t> </w:t>
      </w:r>
      <w:r>
        <w:rPr/>
        <w:t>described</w:t>
      </w:r>
      <w:r>
        <w:rPr>
          <w:spacing w:val="-14"/>
        </w:rPr>
        <w:t> </w:t>
      </w:r>
      <w:r>
        <w:rPr/>
        <w:t>in</w:t>
      </w:r>
      <w:r>
        <w:rPr/>
        <w:t> Regulations section 1.1471-4(d)(5)(i)(A).</w:t>
      </w:r>
    </w:p>
    <w:p>
      <w:pPr>
        <w:pStyle w:val="Heading2"/>
        <w:ind w:left="119"/>
      </w:pPr>
      <w:r>
        <w:rPr>
          <w:w w:val="85"/>
        </w:rPr>
        <w:t>Box</w:t>
      </w:r>
      <w:r>
        <w:rPr>
          <w:spacing w:val="-11"/>
        </w:rPr>
        <w:t> </w:t>
      </w:r>
      <w:r>
        <w:rPr>
          <w:w w:val="85"/>
        </w:rPr>
        <w:t>12.</w:t>
      </w:r>
      <w:r>
        <w:rPr>
          <w:spacing w:val="-10"/>
        </w:rPr>
        <w:t> </w:t>
      </w:r>
      <w:r>
        <w:rPr>
          <w:w w:val="85"/>
        </w:rPr>
        <w:t>Exempt-Interest</w:t>
      </w:r>
      <w:r>
        <w:rPr>
          <w:spacing w:val="-10"/>
        </w:rPr>
        <w:t> </w:t>
      </w:r>
      <w:r>
        <w:rPr>
          <w:spacing w:val="-2"/>
          <w:w w:val="85"/>
        </w:rPr>
        <w:t>Dividends</w:t>
      </w:r>
    </w:p>
    <w:p>
      <w:pPr>
        <w:pStyle w:val="BodyText"/>
        <w:spacing w:line="232" w:lineRule="auto" w:before="27"/>
        <w:ind w:left="119" w:right="119"/>
      </w:pPr>
      <w:r>
        <w:rPr/>
        <w:t>Enter exempt-interest dividends from a mutual fund or other</w:t>
      </w:r>
      <w:r>
        <w:rPr>
          <w:spacing w:val="-14"/>
        </w:rPr>
        <w:t> </w:t>
      </w:r>
      <w:r>
        <w:rPr/>
        <w:t>RIC.</w:t>
      </w:r>
      <w:r>
        <w:rPr>
          <w:spacing w:val="-14"/>
        </w:rPr>
        <w:t> </w:t>
      </w:r>
      <w:r>
        <w:rPr/>
        <w:t>Include</w:t>
      </w:r>
      <w:r>
        <w:rPr>
          <w:spacing w:val="-14"/>
        </w:rPr>
        <w:t> </w:t>
      </w:r>
      <w:r>
        <w:rPr/>
        <w:t>specified</w:t>
      </w:r>
      <w:r>
        <w:rPr>
          <w:spacing w:val="-14"/>
        </w:rPr>
        <w:t> </w:t>
      </w:r>
      <w:r>
        <w:rPr/>
        <w:t>private</w:t>
      </w:r>
      <w:r>
        <w:rPr>
          <w:spacing w:val="-14"/>
        </w:rPr>
        <w:t> </w:t>
      </w:r>
      <w:r>
        <w:rPr/>
        <w:t>activity</w:t>
      </w:r>
      <w:r>
        <w:rPr>
          <w:spacing w:val="-14"/>
        </w:rPr>
        <w:t> </w:t>
      </w:r>
      <w:r>
        <w:rPr/>
        <w:t>bond</w:t>
      </w:r>
      <w:r>
        <w:rPr>
          <w:spacing w:val="-14"/>
        </w:rPr>
        <w:t> </w:t>
      </w:r>
      <w:r>
        <w:rPr/>
        <w:t>interest dividends in box 13 and in the total for box 12. See the instructions for box 13 next.</w:t>
      </w:r>
    </w:p>
    <w:p>
      <w:pPr>
        <w:pStyle w:val="Heading2"/>
        <w:spacing w:line="201" w:lineRule="auto" w:before="165"/>
        <w:ind w:left="119"/>
      </w:pPr>
      <w:r>
        <w:rPr>
          <w:w w:val="85"/>
        </w:rPr>
        <w:t>Box 13. Specified Private Activity Bond Interest </w:t>
      </w:r>
      <w:r>
        <w:rPr>
          <w:spacing w:val="-2"/>
        </w:rPr>
        <w:t>Dividends</w:t>
      </w:r>
    </w:p>
    <w:p>
      <w:pPr>
        <w:pStyle w:val="BodyText"/>
        <w:spacing w:line="232" w:lineRule="auto" w:before="37"/>
        <w:ind w:left="119" w:right="227"/>
      </w:pPr>
      <w:r>
        <w:rPr/>
        <w:t>Enter exempt-interest dividends paid by a RIC on specified private activity bonds to the extent that the dividends are attributable to interest on the bonds received by the RIC minus an allocable share of the expenses. Generally, “specified private activity bond” means any private activity bond defined in section 141 and</w:t>
      </w:r>
      <w:r>
        <w:rPr>
          <w:spacing w:val="-13"/>
        </w:rPr>
        <w:t> </w:t>
      </w:r>
      <w:r>
        <w:rPr/>
        <w:t>issued</w:t>
      </w:r>
      <w:r>
        <w:rPr>
          <w:spacing w:val="-13"/>
        </w:rPr>
        <w:t> </w:t>
      </w:r>
      <w:r>
        <w:rPr/>
        <w:t>after</w:t>
      </w:r>
      <w:r>
        <w:rPr>
          <w:spacing w:val="-13"/>
        </w:rPr>
        <w:t> </w:t>
      </w:r>
      <w:r>
        <w:rPr/>
        <w:t>August</w:t>
      </w:r>
      <w:r>
        <w:rPr>
          <w:spacing w:val="-13"/>
        </w:rPr>
        <w:t> </w:t>
      </w:r>
      <w:r>
        <w:rPr/>
        <w:t>7,</w:t>
      </w:r>
      <w:r>
        <w:rPr>
          <w:spacing w:val="-13"/>
        </w:rPr>
        <w:t> </w:t>
      </w:r>
      <w:r>
        <w:rPr/>
        <w:t>1986.</w:t>
      </w:r>
      <w:r>
        <w:rPr>
          <w:spacing w:val="-13"/>
        </w:rPr>
        <w:t> </w:t>
      </w:r>
      <w:r>
        <w:rPr/>
        <w:t>See</w:t>
      </w:r>
      <w:r>
        <w:rPr>
          <w:spacing w:val="-13"/>
        </w:rPr>
        <w:t> </w:t>
      </w:r>
      <w:r>
        <w:rPr/>
        <w:t>section</w:t>
      </w:r>
      <w:r>
        <w:rPr>
          <w:spacing w:val="-13"/>
        </w:rPr>
        <w:t> </w:t>
      </w:r>
      <w:r>
        <w:rPr/>
        <w:t>57(a)(5)</w:t>
      </w:r>
      <w:r>
        <w:rPr>
          <w:spacing w:val="-13"/>
        </w:rPr>
        <w:t> </w:t>
      </w:r>
      <w:r>
        <w:rPr/>
        <w:t>for more details.</w:t>
      </w:r>
    </w:p>
    <w:p>
      <w:pPr>
        <w:pStyle w:val="Heading2"/>
        <w:spacing w:before="130"/>
      </w:pPr>
      <w:r>
        <w:rPr>
          <w:w w:val="85"/>
        </w:rPr>
        <w:t>Boxes</w:t>
      </w:r>
      <w:r>
        <w:rPr>
          <w:spacing w:val="-8"/>
        </w:rPr>
        <w:t> </w:t>
      </w:r>
      <w:r>
        <w:rPr>
          <w:w w:val="85"/>
        </w:rPr>
        <w:t>14–16.</w:t>
      </w:r>
      <w:r>
        <w:rPr>
          <w:spacing w:val="-8"/>
        </w:rPr>
        <w:t> </w:t>
      </w:r>
      <w:r>
        <w:rPr>
          <w:w w:val="85"/>
        </w:rPr>
        <w:t>State</w:t>
      </w:r>
      <w:r>
        <w:rPr>
          <w:spacing w:val="-8"/>
        </w:rPr>
        <w:t> </w:t>
      </w:r>
      <w:r>
        <w:rPr>
          <w:spacing w:val="-2"/>
          <w:w w:val="85"/>
        </w:rPr>
        <w:t>Information</w:t>
      </w:r>
    </w:p>
    <w:p>
      <w:pPr>
        <w:pStyle w:val="BodyText"/>
        <w:spacing w:line="232" w:lineRule="auto" w:before="27"/>
        <w:ind w:right="99"/>
      </w:pPr>
      <w:r>
        <w:rPr/>
        <w:t>These boxes, and Copies 1 and 2, are provided for your convenience</w:t>
      </w:r>
      <w:r>
        <w:rPr>
          <w:spacing w:val="-7"/>
        </w:rPr>
        <w:t> </w:t>
      </w:r>
      <w:r>
        <w:rPr/>
        <w:t>only</w:t>
      </w:r>
      <w:r>
        <w:rPr>
          <w:spacing w:val="-7"/>
        </w:rPr>
        <w:t> </w:t>
      </w:r>
      <w:r>
        <w:rPr/>
        <w:t>and</w:t>
      </w:r>
      <w:r>
        <w:rPr>
          <w:spacing w:val="-7"/>
        </w:rPr>
        <w:t> </w:t>
      </w:r>
      <w:r>
        <w:rPr/>
        <w:t>need</w:t>
      </w:r>
      <w:r>
        <w:rPr>
          <w:spacing w:val="-7"/>
        </w:rPr>
        <w:t> </w:t>
      </w:r>
      <w:r>
        <w:rPr/>
        <w:t>not</w:t>
      </w:r>
      <w:r>
        <w:rPr>
          <w:spacing w:val="-7"/>
        </w:rPr>
        <w:t> </w:t>
      </w:r>
      <w:r>
        <w:rPr/>
        <w:t>be</w:t>
      </w:r>
      <w:r>
        <w:rPr>
          <w:spacing w:val="-7"/>
        </w:rPr>
        <w:t> </w:t>
      </w:r>
      <w:r>
        <w:rPr/>
        <w:t>completed</w:t>
      </w:r>
      <w:r>
        <w:rPr>
          <w:spacing w:val="-7"/>
        </w:rPr>
        <w:t> </w:t>
      </w:r>
      <w:r>
        <w:rPr/>
        <w:t>for</w:t>
      </w:r>
      <w:r>
        <w:rPr>
          <w:spacing w:val="-7"/>
        </w:rPr>
        <w:t> </w:t>
      </w:r>
      <w:r>
        <w:rPr/>
        <w:t>the</w:t>
      </w:r>
      <w:r>
        <w:rPr>
          <w:spacing w:val="-7"/>
        </w:rPr>
        <w:t> </w:t>
      </w:r>
      <w:r>
        <w:rPr/>
        <w:t>IRS. If you withheld state income taxes on this payment, use the state information boxes to report payments for up to two</w:t>
      </w:r>
      <w:r>
        <w:rPr>
          <w:spacing w:val="-5"/>
        </w:rPr>
        <w:t> </w:t>
      </w:r>
      <w:r>
        <w:rPr/>
        <w:t>states.</w:t>
      </w:r>
      <w:r>
        <w:rPr>
          <w:spacing w:val="-5"/>
        </w:rPr>
        <w:t> </w:t>
      </w:r>
      <w:r>
        <w:rPr/>
        <w:t>Keep</w:t>
      </w:r>
      <w:r>
        <w:rPr>
          <w:spacing w:val="-5"/>
        </w:rPr>
        <w:t> </w:t>
      </w:r>
      <w:r>
        <w:rPr/>
        <w:t>the</w:t>
      </w:r>
      <w:r>
        <w:rPr>
          <w:spacing w:val="-5"/>
        </w:rPr>
        <w:t> </w:t>
      </w:r>
      <w:r>
        <w:rPr/>
        <w:t>information</w:t>
      </w:r>
      <w:r>
        <w:rPr>
          <w:spacing w:val="-5"/>
        </w:rPr>
        <w:t> </w:t>
      </w:r>
      <w:r>
        <w:rPr/>
        <w:t>for</w:t>
      </w:r>
      <w:r>
        <w:rPr>
          <w:spacing w:val="-5"/>
        </w:rPr>
        <w:t> </w:t>
      </w:r>
      <w:r>
        <w:rPr/>
        <w:t>each</w:t>
      </w:r>
      <w:r>
        <w:rPr>
          <w:spacing w:val="-5"/>
        </w:rPr>
        <w:t> </w:t>
      </w:r>
      <w:r>
        <w:rPr/>
        <w:t>state</w:t>
      </w:r>
      <w:r>
        <w:rPr>
          <w:spacing w:val="-5"/>
        </w:rPr>
        <w:t> </w:t>
      </w:r>
      <w:r>
        <w:rPr/>
        <w:t>separated by the dashed line in each box. In box 14, enter the abbreviated</w:t>
      </w:r>
      <w:r>
        <w:rPr>
          <w:spacing w:val="-14"/>
        </w:rPr>
        <w:t> </w:t>
      </w:r>
      <w:r>
        <w:rPr/>
        <w:t>name</w:t>
      </w:r>
      <w:r>
        <w:rPr>
          <w:spacing w:val="-14"/>
        </w:rPr>
        <w:t> </w:t>
      </w:r>
      <w:r>
        <w:rPr/>
        <w:t>of</w:t>
      </w:r>
      <w:r>
        <w:rPr>
          <w:spacing w:val="-14"/>
        </w:rPr>
        <w:t> </w:t>
      </w:r>
      <w:r>
        <w:rPr/>
        <w:t>the</w:t>
      </w:r>
      <w:r>
        <w:rPr>
          <w:spacing w:val="-14"/>
        </w:rPr>
        <w:t> </w:t>
      </w:r>
      <w:r>
        <w:rPr/>
        <w:t>state.</w:t>
      </w:r>
      <w:r>
        <w:rPr>
          <w:spacing w:val="-14"/>
        </w:rPr>
        <w:t> </w:t>
      </w:r>
      <w:r>
        <w:rPr/>
        <w:t>In</w:t>
      </w:r>
      <w:r>
        <w:rPr>
          <w:spacing w:val="-14"/>
        </w:rPr>
        <w:t> </w:t>
      </w:r>
      <w:r>
        <w:rPr/>
        <w:t>box</w:t>
      </w:r>
      <w:r>
        <w:rPr>
          <w:spacing w:val="-14"/>
        </w:rPr>
        <w:t> </w:t>
      </w:r>
      <w:r>
        <w:rPr/>
        <w:t>15,</w:t>
      </w:r>
      <w:r>
        <w:rPr>
          <w:spacing w:val="-14"/>
        </w:rPr>
        <w:t> </w:t>
      </w:r>
      <w:r>
        <w:rPr/>
        <w:t>enter</w:t>
      </w:r>
      <w:r>
        <w:rPr>
          <w:spacing w:val="-14"/>
        </w:rPr>
        <w:t> </w:t>
      </w:r>
      <w:r>
        <w:rPr/>
        <w:t>the</w:t>
      </w:r>
      <w:r>
        <w:rPr>
          <w:spacing w:val="-13"/>
        </w:rPr>
        <w:t> </w:t>
      </w:r>
      <w:r>
        <w:rPr/>
        <w:t>payer's state identification number. The state number is the payer's identification number assigned by the individual state.</w:t>
      </w:r>
      <w:r>
        <w:rPr>
          <w:spacing w:val="-13"/>
        </w:rPr>
        <w:t> </w:t>
      </w:r>
      <w:r>
        <w:rPr/>
        <w:t>Enter</w:t>
      </w:r>
      <w:r>
        <w:rPr>
          <w:spacing w:val="-13"/>
        </w:rPr>
        <w:t> </w:t>
      </w:r>
      <w:r>
        <w:rPr/>
        <w:t>in</w:t>
      </w:r>
      <w:r>
        <w:rPr>
          <w:spacing w:val="-13"/>
        </w:rPr>
        <w:t> </w:t>
      </w:r>
      <w:r>
        <w:rPr/>
        <w:t>box</w:t>
      </w:r>
      <w:r>
        <w:rPr>
          <w:spacing w:val="-13"/>
        </w:rPr>
        <w:t> </w:t>
      </w:r>
      <w:r>
        <w:rPr/>
        <w:t>16</w:t>
      </w:r>
      <w:r>
        <w:rPr>
          <w:spacing w:val="-13"/>
        </w:rPr>
        <w:t> </w:t>
      </w:r>
      <w:r>
        <w:rPr/>
        <w:t>the</w:t>
      </w:r>
      <w:r>
        <w:rPr>
          <w:spacing w:val="-13"/>
        </w:rPr>
        <w:t> </w:t>
      </w:r>
      <w:r>
        <w:rPr/>
        <w:t>state</w:t>
      </w:r>
      <w:r>
        <w:rPr>
          <w:spacing w:val="-13"/>
        </w:rPr>
        <w:t> </w:t>
      </w:r>
      <w:r>
        <w:rPr/>
        <w:t>income</w:t>
      </w:r>
      <w:r>
        <w:rPr>
          <w:spacing w:val="-13"/>
        </w:rPr>
        <w:t> </w:t>
      </w:r>
      <w:r>
        <w:rPr/>
        <w:t>tax</w:t>
      </w:r>
      <w:r>
        <w:rPr>
          <w:spacing w:val="-13"/>
        </w:rPr>
        <w:t> </w:t>
      </w:r>
      <w:r>
        <w:rPr/>
        <w:t>withheld</w:t>
      </w:r>
      <w:r>
        <w:rPr>
          <w:spacing w:val="-13"/>
        </w:rPr>
        <w:t> </w:t>
      </w:r>
      <w:r>
        <w:rPr/>
        <w:t>on</w:t>
      </w:r>
      <w:r>
        <w:rPr>
          <w:spacing w:val="-13"/>
        </w:rPr>
        <w:t> </w:t>
      </w:r>
      <w:r>
        <w:rPr/>
        <w:t>this </w:t>
      </w:r>
      <w:r>
        <w:rPr>
          <w:spacing w:val="-2"/>
        </w:rPr>
        <w:t>payment.</w:t>
      </w:r>
    </w:p>
    <w:p>
      <w:pPr>
        <w:pStyle w:val="BodyText"/>
        <w:spacing w:line="232" w:lineRule="auto" w:before="190"/>
        <w:ind w:right="99" w:firstLine="240"/>
      </w:pPr>
      <w:r>
        <w:rPr/>
        <w:t>If</w:t>
      </w:r>
      <w:r>
        <w:rPr>
          <w:spacing w:val="-9"/>
        </w:rPr>
        <w:t> </w:t>
      </w:r>
      <w:r>
        <w:rPr/>
        <w:t>a</w:t>
      </w:r>
      <w:r>
        <w:rPr>
          <w:spacing w:val="-9"/>
        </w:rPr>
        <w:t> </w:t>
      </w:r>
      <w:r>
        <w:rPr/>
        <w:t>state</w:t>
      </w:r>
      <w:r>
        <w:rPr>
          <w:spacing w:val="-9"/>
        </w:rPr>
        <w:t> </w:t>
      </w:r>
      <w:r>
        <w:rPr/>
        <w:t>tax</w:t>
      </w:r>
      <w:r>
        <w:rPr>
          <w:spacing w:val="-9"/>
        </w:rPr>
        <w:t> </w:t>
      </w:r>
      <w:r>
        <w:rPr/>
        <w:t>department</w:t>
      </w:r>
      <w:r>
        <w:rPr>
          <w:spacing w:val="-9"/>
        </w:rPr>
        <w:t> </w:t>
      </w:r>
      <w:r>
        <w:rPr/>
        <w:t>requires</w:t>
      </w:r>
      <w:r>
        <w:rPr>
          <w:spacing w:val="-9"/>
        </w:rPr>
        <w:t> </w:t>
      </w:r>
      <w:r>
        <w:rPr/>
        <w:t>that</w:t>
      </w:r>
      <w:r>
        <w:rPr>
          <w:spacing w:val="-9"/>
        </w:rPr>
        <w:t> </w:t>
      </w:r>
      <w:r>
        <w:rPr/>
        <w:t>you</w:t>
      </w:r>
      <w:r>
        <w:rPr>
          <w:spacing w:val="-9"/>
        </w:rPr>
        <w:t> </w:t>
      </w:r>
      <w:r>
        <w:rPr/>
        <w:t>send</w:t>
      </w:r>
      <w:r>
        <w:rPr>
          <w:spacing w:val="-9"/>
        </w:rPr>
        <w:t> </w:t>
      </w:r>
      <w:r>
        <w:rPr/>
        <w:t>them</w:t>
      </w:r>
      <w:r>
        <w:rPr>
          <w:spacing w:val="-9"/>
        </w:rPr>
        <w:t> </w:t>
      </w:r>
      <w:r>
        <w:rPr/>
        <w:t>a paper</w:t>
      </w:r>
      <w:r>
        <w:rPr>
          <w:spacing w:val="-13"/>
        </w:rPr>
        <w:t> </w:t>
      </w:r>
      <w:r>
        <w:rPr/>
        <w:t>copy</w:t>
      </w:r>
      <w:r>
        <w:rPr>
          <w:spacing w:val="-13"/>
        </w:rPr>
        <w:t> </w:t>
      </w:r>
      <w:r>
        <w:rPr/>
        <w:t>of</w:t>
      </w:r>
      <w:r>
        <w:rPr>
          <w:spacing w:val="-13"/>
        </w:rPr>
        <w:t> </w:t>
      </w:r>
      <w:r>
        <w:rPr/>
        <w:t>this</w:t>
      </w:r>
      <w:r>
        <w:rPr>
          <w:spacing w:val="-13"/>
        </w:rPr>
        <w:t> </w:t>
      </w:r>
      <w:r>
        <w:rPr/>
        <w:t>form,</w:t>
      </w:r>
      <w:r>
        <w:rPr>
          <w:spacing w:val="-13"/>
        </w:rPr>
        <w:t> </w:t>
      </w:r>
      <w:r>
        <w:rPr/>
        <w:t>use</w:t>
      </w:r>
      <w:r>
        <w:rPr>
          <w:spacing w:val="-13"/>
        </w:rPr>
        <w:t> </w:t>
      </w:r>
      <w:r>
        <w:rPr/>
        <w:t>Copy</w:t>
      </w:r>
      <w:r>
        <w:rPr>
          <w:spacing w:val="-13"/>
        </w:rPr>
        <w:t> </w:t>
      </w:r>
      <w:r>
        <w:rPr/>
        <w:t>1</w:t>
      </w:r>
      <w:r>
        <w:rPr>
          <w:spacing w:val="-13"/>
        </w:rPr>
        <w:t> </w:t>
      </w:r>
      <w:r>
        <w:rPr/>
        <w:t>to</w:t>
      </w:r>
      <w:r>
        <w:rPr>
          <w:spacing w:val="-13"/>
        </w:rPr>
        <w:t> </w:t>
      </w:r>
      <w:r>
        <w:rPr/>
        <w:t>provide</w:t>
      </w:r>
      <w:r>
        <w:rPr>
          <w:spacing w:val="-13"/>
        </w:rPr>
        <w:t> </w:t>
      </w:r>
      <w:r>
        <w:rPr/>
        <w:t>information to the state tax department. Give Copy 2 to the recipient for use in filing the recipient's state income tax return.</w:t>
      </w:r>
    </w:p>
    <w:sectPr>
      <w:pgSz w:w="12240" w:h="15840"/>
      <w:pgMar w:header="0" w:footer="644" w:top="420" w:bottom="840" w:left="720" w:right="720"/>
      <w:cols w:num="2" w:equalWidth="0">
        <w:col w:w="5231" w:space="229"/>
        <w:col w:w="534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324672">
              <wp:simplePos x="0" y="0"/>
              <wp:positionH relativeFrom="page">
                <wp:posOffset>520700</wp:posOffset>
              </wp:positionH>
              <wp:positionV relativeFrom="page">
                <wp:posOffset>9499904</wp:posOffset>
              </wp:positionV>
              <wp:extent cx="704850" cy="1892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04850" cy="189230"/>
                      </a:xfrm>
                      <a:prstGeom prst="rect">
                        <a:avLst/>
                      </a:prstGeom>
                    </wps:spPr>
                    <wps:txbx>
                      <w:txbxContent>
                        <w:p>
                          <w:pPr>
                            <w:spacing w:before="33"/>
                            <w:ind w:left="20" w:right="0" w:firstLine="0"/>
                            <w:jc w:val="left"/>
                            <w:rPr>
                              <w:rFonts w:ascii="Arial Black"/>
                              <w:sz w:val="18"/>
                            </w:rPr>
                          </w:pPr>
                          <w:r>
                            <w:rPr>
                              <w:rFonts w:ascii="Arial Black"/>
                              <w:w w:val="85"/>
                              <w:sz w:val="18"/>
                            </w:rPr>
                            <w:t>Oct</w:t>
                          </w:r>
                          <w:r>
                            <w:rPr>
                              <w:rFonts w:ascii="Arial Black"/>
                              <w:spacing w:val="-3"/>
                              <w:w w:val="85"/>
                              <w:sz w:val="18"/>
                            </w:rPr>
                            <w:t> </w:t>
                          </w:r>
                          <w:r>
                            <w:rPr>
                              <w:rFonts w:ascii="Arial Black"/>
                              <w:w w:val="85"/>
                              <w:sz w:val="18"/>
                            </w:rPr>
                            <w:t>24,</w:t>
                          </w:r>
                          <w:r>
                            <w:rPr>
                              <w:rFonts w:ascii="Arial Black"/>
                              <w:spacing w:val="-3"/>
                              <w:w w:val="85"/>
                              <w:sz w:val="18"/>
                            </w:rPr>
                            <w:t> </w:t>
                          </w:r>
                          <w:r>
                            <w:rPr>
                              <w:rFonts w:ascii="Arial Black"/>
                              <w:spacing w:val="-4"/>
                              <w:w w:val="85"/>
                              <w:sz w:val="18"/>
                            </w:rPr>
                            <w:t>2023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pt;margin-top:748.023987pt;width:55.5pt;height:14.9pt;mso-position-horizontal-relative:page;mso-position-vertical-relative:page;z-index:-15991808" type="#_x0000_t202" id="docshape1" filled="false" stroked="false">
              <v:textbox inset="0,0,0,0">
                <w:txbxContent>
                  <w:p>
                    <w:pPr>
                      <w:spacing w:before="33"/>
                      <w:ind w:left="20" w:right="0" w:firstLine="0"/>
                      <w:jc w:val="left"/>
                      <w:rPr>
                        <w:rFonts w:ascii="Arial Black"/>
                        <w:sz w:val="18"/>
                      </w:rPr>
                    </w:pPr>
                    <w:r>
                      <w:rPr>
                        <w:rFonts w:ascii="Arial Black"/>
                        <w:w w:val="85"/>
                        <w:sz w:val="18"/>
                      </w:rPr>
                      <w:t>Oct</w:t>
                    </w:r>
                    <w:r>
                      <w:rPr>
                        <w:rFonts w:ascii="Arial Black"/>
                        <w:spacing w:val="-3"/>
                        <w:w w:val="85"/>
                        <w:sz w:val="18"/>
                      </w:rPr>
                      <w:t> </w:t>
                    </w:r>
                    <w:r>
                      <w:rPr>
                        <w:rFonts w:ascii="Arial Black"/>
                        <w:w w:val="85"/>
                        <w:sz w:val="18"/>
                      </w:rPr>
                      <w:t>24,</w:t>
                    </w:r>
                    <w:r>
                      <w:rPr>
                        <w:rFonts w:ascii="Arial Black"/>
                        <w:spacing w:val="-3"/>
                        <w:w w:val="85"/>
                        <w:sz w:val="18"/>
                      </w:rPr>
                      <w:t> </w:t>
                    </w:r>
                    <w:r>
                      <w:rPr>
                        <w:rFonts w:ascii="Arial Black"/>
                        <w:spacing w:val="-4"/>
                        <w:w w:val="85"/>
                        <w:sz w:val="18"/>
                      </w:rPr>
                      <w:t>2023</w:t>
                    </w:r>
                  </w:p>
                </w:txbxContent>
              </v:textbox>
              <w10:wrap type="none"/>
            </v:shape>
          </w:pict>
        </mc:Fallback>
      </mc:AlternateContent>
    </w:r>
    <w:r>
      <w:rPr/>
      <mc:AlternateContent>
        <mc:Choice Requires="wps">
          <w:drawing>
            <wp:anchor distT="0" distB="0" distL="0" distR="0" allowOverlap="1" layoutInCell="1" locked="0" behindDoc="1" simplePos="0" relativeHeight="487325184">
              <wp:simplePos x="0" y="0"/>
              <wp:positionH relativeFrom="page">
                <wp:posOffset>3457067</wp:posOffset>
              </wp:positionH>
              <wp:positionV relativeFrom="page">
                <wp:posOffset>9499905</wp:posOffset>
              </wp:positionV>
              <wp:extent cx="858519" cy="1892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58519" cy="189230"/>
                      </a:xfrm>
                      <a:prstGeom prst="rect">
                        <a:avLst/>
                      </a:prstGeom>
                    </wps:spPr>
                    <wps:txbx>
                      <w:txbxContent>
                        <w:p>
                          <w:pPr>
                            <w:spacing w:before="62"/>
                            <w:ind w:left="20" w:right="0" w:firstLine="0"/>
                            <w:jc w:val="left"/>
                            <w:rPr>
                              <w:sz w:val="18"/>
                            </w:rPr>
                          </w:pPr>
                          <w:r>
                            <w:rPr>
                              <w:spacing w:val="-2"/>
                              <w:sz w:val="18"/>
                            </w:rPr>
                            <w:t>Cat.</w:t>
                          </w:r>
                          <w:r>
                            <w:rPr>
                              <w:spacing w:val="-9"/>
                              <w:sz w:val="18"/>
                            </w:rPr>
                            <w:t> </w:t>
                          </w:r>
                          <w:r>
                            <w:rPr>
                              <w:spacing w:val="-2"/>
                              <w:sz w:val="18"/>
                            </w:rPr>
                            <w:t>No.</w:t>
                          </w:r>
                          <w:r>
                            <w:rPr>
                              <w:spacing w:val="-6"/>
                              <w:sz w:val="18"/>
                            </w:rPr>
                            <w:t> </w:t>
                          </w:r>
                          <w:r>
                            <w:rPr>
                              <w:spacing w:val="-2"/>
                              <w:sz w:val="18"/>
                            </w:rPr>
                            <w:t>27978B</w:t>
                          </w:r>
                        </w:p>
                      </w:txbxContent>
                    </wps:txbx>
                    <wps:bodyPr wrap="square" lIns="0" tIns="0" rIns="0" bIns="0" rtlCol="0">
                      <a:noAutofit/>
                    </wps:bodyPr>
                  </wps:wsp>
                </a:graphicData>
              </a:graphic>
            </wp:anchor>
          </w:drawing>
        </mc:Choice>
        <mc:Fallback>
          <w:pict>
            <v:shape style="position:absolute;margin-left:272.210022pt;margin-top:748.024048pt;width:67.6pt;height:14.9pt;mso-position-horizontal-relative:page;mso-position-vertical-relative:page;z-index:-15991296" type="#_x0000_t202" id="docshape2" filled="false" stroked="false">
              <v:textbox inset="0,0,0,0">
                <w:txbxContent>
                  <w:p>
                    <w:pPr>
                      <w:spacing w:before="62"/>
                      <w:ind w:left="20" w:right="0" w:firstLine="0"/>
                      <w:jc w:val="left"/>
                      <w:rPr>
                        <w:sz w:val="18"/>
                      </w:rPr>
                    </w:pPr>
                    <w:r>
                      <w:rPr>
                        <w:spacing w:val="-2"/>
                        <w:sz w:val="18"/>
                      </w:rPr>
                      <w:t>Cat.</w:t>
                    </w:r>
                    <w:r>
                      <w:rPr>
                        <w:spacing w:val="-9"/>
                        <w:sz w:val="18"/>
                      </w:rPr>
                      <w:t> </w:t>
                    </w:r>
                    <w:r>
                      <w:rPr>
                        <w:spacing w:val="-2"/>
                        <w:sz w:val="18"/>
                      </w:rPr>
                      <w:t>No.</w:t>
                    </w:r>
                    <w:r>
                      <w:rPr>
                        <w:spacing w:val="-6"/>
                        <w:sz w:val="18"/>
                      </w:rPr>
                      <w:t> </w:t>
                    </w:r>
                    <w:r>
                      <w:rPr>
                        <w:spacing w:val="-2"/>
                        <w:sz w:val="18"/>
                      </w:rPr>
                      <w:t>27978B</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325696">
              <wp:simplePos x="0" y="0"/>
              <wp:positionH relativeFrom="page">
                <wp:posOffset>3794633</wp:posOffset>
              </wp:positionH>
              <wp:positionV relativeFrom="page">
                <wp:posOffset>9509675</wp:posOffset>
              </wp:positionV>
              <wp:extent cx="183515" cy="2076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3515" cy="207645"/>
                      </a:xfrm>
                      <a:prstGeom prst="rect">
                        <a:avLst/>
                      </a:prstGeom>
                    </wps:spPr>
                    <wps:txbx>
                      <w:txbxContent>
                        <w:p>
                          <w:pPr>
                            <w:pStyle w:val="BodyText"/>
                            <w:spacing w:before="34"/>
                            <w:ind w:left="20"/>
                            <w:rPr>
                              <w:rFonts w:ascii="Arial Black"/>
                            </w:rPr>
                          </w:pPr>
                          <w:r>
                            <w:rPr>
                              <w:rFonts w:ascii="Arial Black"/>
                            </w:rPr>
                            <w:t>-</w:t>
                          </w:r>
                          <w:r>
                            <w:rPr>
                              <w:rFonts w:ascii="Arial Black"/>
                              <w:spacing w:val="-5"/>
                            </w:rPr>
                            <w:fldChar w:fldCharType="begin"/>
                          </w:r>
                          <w:r>
                            <w:rPr>
                              <w:rFonts w:ascii="Arial Black"/>
                              <w:spacing w:val="-5"/>
                            </w:rPr>
                            <w:instrText> PAGE </w:instrText>
                          </w:r>
                          <w:r>
                            <w:rPr>
                              <w:rFonts w:ascii="Arial Black"/>
                              <w:spacing w:val="-5"/>
                            </w:rPr>
                            <w:fldChar w:fldCharType="separate"/>
                          </w:r>
                          <w:r>
                            <w:rPr>
                              <w:rFonts w:ascii="Arial Black"/>
                              <w:spacing w:val="-5"/>
                            </w:rPr>
                            <w:t>2</w:t>
                          </w:r>
                          <w:r>
                            <w:rPr>
                              <w:rFonts w:ascii="Arial Black"/>
                              <w:spacing w:val="-5"/>
                            </w:rPr>
                            <w:fldChar w:fldCharType="end"/>
                          </w:r>
                          <w:r>
                            <w:rPr>
                              <w:rFonts w:ascii="Arial Black"/>
                              <w:spacing w:val="-5"/>
                            </w:rPr>
                            <w:t>-</w:t>
                          </w:r>
                        </w:p>
                      </w:txbxContent>
                    </wps:txbx>
                    <wps:bodyPr wrap="square" lIns="0" tIns="0" rIns="0" bIns="0" rtlCol="0">
                      <a:noAutofit/>
                    </wps:bodyPr>
                  </wps:wsp>
                </a:graphicData>
              </a:graphic>
            </wp:anchor>
          </w:drawing>
        </mc:Choice>
        <mc:Fallback>
          <w:pict>
            <v:shape style="position:absolute;margin-left:298.790009pt;margin-top:748.793335pt;width:14.45pt;height:16.3500pt;mso-position-horizontal-relative:page;mso-position-vertical-relative:page;z-index:-15990784" type="#_x0000_t202" id="docshape3" filled="false" stroked="false">
              <v:textbox inset="0,0,0,0">
                <w:txbxContent>
                  <w:p>
                    <w:pPr>
                      <w:pStyle w:val="BodyText"/>
                      <w:spacing w:before="34"/>
                      <w:ind w:left="20"/>
                      <w:rPr>
                        <w:rFonts w:ascii="Arial Black"/>
                      </w:rPr>
                    </w:pPr>
                    <w:r>
                      <w:rPr>
                        <w:rFonts w:ascii="Arial Black"/>
                      </w:rPr>
                      <w:t>-</w:t>
                    </w:r>
                    <w:r>
                      <w:rPr>
                        <w:rFonts w:ascii="Arial Black"/>
                        <w:spacing w:val="-5"/>
                      </w:rPr>
                      <w:fldChar w:fldCharType="begin"/>
                    </w:r>
                    <w:r>
                      <w:rPr>
                        <w:rFonts w:ascii="Arial Black"/>
                        <w:spacing w:val="-5"/>
                      </w:rPr>
                      <w:instrText> PAGE </w:instrText>
                    </w:r>
                    <w:r>
                      <w:rPr>
                        <w:rFonts w:ascii="Arial Black"/>
                        <w:spacing w:val="-5"/>
                      </w:rPr>
                      <w:fldChar w:fldCharType="separate"/>
                    </w:r>
                    <w:r>
                      <w:rPr>
                        <w:rFonts w:ascii="Arial Black"/>
                        <w:spacing w:val="-5"/>
                      </w:rPr>
                      <w:t>2</w:t>
                    </w:r>
                    <w:r>
                      <w:rPr>
                        <w:rFonts w:ascii="Arial Black"/>
                        <w:spacing w:val="-5"/>
                      </w:rPr>
                      <w:fldChar w:fldCharType="end"/>
                    </w:r>
                    <w:r>
                      <w:rPr>
                        <w:rFonts w:ascii="Arial Black"/>
                        <w:spacing w:val="-5"/>
                      </w:rPr>
                      <w:t>-</w:t>
                    </w:r>
                  </w:p>
                </w:txbxContent>
              </v:textbox>
              <w10:wrap type="none"/>
            </v:shape>
          </w:pict>
        </mc:Fallback>
      </mc:AlternateContent>
    </w:r>
    <w:r>
      <w:rPr/>
      <mc:AlternateContent>
        <mc:Choice Requires="wps">
          <w:drawing>
            <wp:anchor distT="0" distB="0" distL="0" distR="0" allowOverlap="1" layoutInCell="1" locked="0" behindDoc="1" simplePos="0" relativeHeight="487326208">
              <wp:simplePos x="0" y="0"/>
              <wp:positionH relativeFrom="page">
                <wp:posOffset>4740389</wp:posOffset>
              </wp:positionH>
              <wp:positionV relativeFrom="page">
                <wp:posOffset>9523400</wp:posOffset>
              </wp:positionV>
              <wp:extent cx="2512695" cy="1892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512695" cy="189230"/>
                      </a:xfrm>
                      <a:prstGeom prst="rect">
                        <a:avLst/>
                      </a:prstGeom>
                    </wps:spPr>
                    <wps:txbx>
                      <w:txbxContent>
                        <w:p>
                          <w:pPr>
                            <w:spacing w:before="33"/>
                            <w:ind w:left="20" w:right="0" w:firstLine="0"/>
                            <w:jc w:val="left"/>
                            <w:rPr>
                              <w:rFonts w:ascii="Arial Black"/>
                              <w:sz w:val="18"/>
                            </w:rPr>
                          </w:pPr>
                          <w:r>
                            <w:rPr>
                              <w:rFonts w:ascii="Arial Black"/>
                              <w:w w:val="85"/>
                              <w:sz w:val="18"/>
                            </w:rPr>
                            <w:t>Instructions</w:t>
                          </w:r>
                          <w:r>
                            <w:rPr>
                              <w:rFonts w:ascii="Arial Black"/>
                              <w:spacing w:val="1"/>
                              <w:sz w:val="18"/>
                            </w:rPr>
                            <w:t> </w:t>
                          </w:r>
                          <w:r>
                            <w:rPr>
                              <w:rFonts w:ascii="Arial Black"/>
                              <w:w w:val="85"/>
                              <w:sz w:val="18"/>
                            </w:rPr>
                            <w:t>for</w:t>
                          </w:r>
                          <w:r>
                            <w:rPr>
                              <w:rFonts w:ascii="Arial Black"/>
                              <w:spacing w:val="1"/>
                              <w:sz w:val="18"/>
                            </w:rPr>
                            <w:t> </w:t>
                          </w:r>
                          <w:r>
                            <w:rPr>
                              <w:rFonts w:ascii="Arial Black"/>
                              <w:w w:val="85"/>
                              <w:sz w:val="18"/>
                            </w:rPr>
                            <w:t>Form</w:t>
                          </w:r>
                          <w:r>
                            <w:rPr>
                              <w:rFonts w:ascii="Arial Black"/>
                              <w:spacing w:val="1"/>
                              <w:sz w:val="18"/>
                            </w:rPr>
                            <w:t> </w:t>
                          </w:r>
                          <w:r>
                            <w:rPr>
                              <w:rFonts w:ascii="Arial Black"/>
                              <w:w w:val="85"/>
                              <w:sz w:val="18"/>
                            </w:rPr>
                            <w:t>1099-DIV</w:t>
                          </w:r>
                          <w:r>
                            <w:rPr>
                              <w:rFonts w:ascii="Arial Black"/>
                              <w:spacing w:val="1"/>
                              <w:sz w:val="18"/>
                            </w:rPr>
                            <w:t> </w:t>
                          </w:r>
                          <w:r>
                            <w:rPr>
                              <w:rFonts w:ascii="Arial Black"/>
                              <w:w w:val="85"/>
                              <w:sz w:val="18"/>
                            </w:rPr>
                            <w:t>(Rev.</w:t>
                          </w:r>
                          <w:r>
                            <w:rPr>
                              <w:rFonts w:ascii="Arial Black"/>
                              <w:spacing w:val="1"/>
                              <w:sz w:val="18"/>
                            </w:rPr>
                            <w:t> </w:t>
                          </w:r>
                          <w:r>
                            <w:rPr>
                              <w:rFonts w:ascii="Arial Black"/>
                              <w:w w:val="85"/>
                              <w:sz w:val="18"/>
                            </w:rPr>
                            <w:t>01-</w:t>
                          </w:r>
                          <w:r>
                            <w:rPr>
                              <w:rFonts w:ascii="Arial Black"/>
                              <w:spacing w:val="-2"/>
                              <w:w w:val="85"/>
                              <w:sz w:val="18"/>
                            </w:rPr>
                            <w:t>2024)</w:t>
                          </w:r>
                        </w:p>
                      </w:txbxContent>
                    </wps:txbx>
                    <wps:bodyPr wrap="square" lIns="0" tIns="0" rIns="0" bIns="0" rtlCol="0">
                      <a:noAutofit/>
                    </wps:bodyPr>
                  </wps:wsp>
                </a:graphicData>
              </a:graphic>
            </wp:anchor>
          </w:drawing>
        </mc:Choice>
        <mc:Fallback>
          <w:pict>
            <v:shape style="position:absolute;margin-left:373.259003pt;margin-top:749.874023pt;width:197.85pt;height:14.9pt;mso-position-horizontal-relative:page;mso-position-vertical-relative:page;z-index:-15990272" type="#_x0000_t202" id="docshape4" filled="false" stroked="false">
              <v:textbox inset="0,0,0,0">
                <w:txbxContent>
                  <w:p>
                    <w:pPr>
                      <w:spacing w:before="33"/>
                      <w:ind w:left="20" w:right="0" w:firstLine="0"/>
                      <w:jc w:val="left"/>
                      <w:rPr>
                        <w:rFonts w:ascii="Arial Black"/>
                        <w:sz w:val="18"/>
                      </w:rPr>
                    </w:pPr>
                    <w:r>
                      <w:rPr>
                        <w:rFonts w:ascii="Arial Black"/>
                        <w:w w:val="85"/>
                        <w:sz w:val="18"/>
                      </w:rPr>
                      <w:t>Instructions</w:t>
                    </w:r>
                    <w:r>
                      <w:rPr>
                        <w:rFonts w:ascii="Arial Black"/>
                        <w:spacing w:val="1"/>
                        <w:sz w:val="18"/>
                      </w:rPr>
                      <w:t> </w:t>
                    </w:r>
                    <w:r>
                      <w:rPr>
                        <w:rFonts w:ascii="Arial Black"/>
                        <w:w w:val="85"/>
                        <w:sz w:val="18"/>
                      </w:rPr>
                      <w:t>for</w:t>
                    </w:r>
                    <w:r>
                      <w:rPr>
                        <w:rFonts w:ascii="Arial Black"/>
                        <w:spacing w:val="1"/>
                        <w:sz w:val="18"/>
                      </w:rPr>
                      <w:t> </w:t>
                    </w:r>
                    <w:r>
                      <w:rPr>
                        <w:rFonts w:ascii="Arial Black"/>
                        <w:w w:val="85"/>
                        <w:sz w:val="18"/>
                      </w:rPr>
                      <w:t>Form</w:t>
                    </w:r>
                    <w:r>
                      <w:rPr>
                        <w:rFonts w:ascii="Arial Black"/>
                        <w:spacing w:val="1"/>
                        <w:sz w:val="18"/>
                      </w:rPr>
                      <w:t> </w:t>
                    </w:r>
                    <w:r>
                      <w:rPr>
                        <w:rFonts w:ascii="Arial Black"/>
                        <w:w w:val="85"/>
                        <w:sz w:val="18"/>
                      </w:rPr>
                      <w:t>1099-DIV</w:t>
                    </w:r>
                    <w:r>
                      <w:rPr>
                        <w:rFonts w:ascii="Arial Black"/>
                        <w:spacing w:val="1"/>
                        <w:sz w:val="18"/>
                      </w:rPr>
                      <w:t> </w:t>
                    </w:r>
                    <w:r>
                      <w:rPr>
                        <w:rFonts w:ascii="Arial Black"/>
                        <w:w w:val="85"/>
                        <w:sz w:val="18"/>
                      </w:rPr>
                      <w:t>(Rev.</w:t>
                    </w:r>
                    <w:r>
                      <w:rPr>
                        <w:rFonts w:ascii="Arial Black"/>
                        <w:spacing w:val="1"/>
                        <w:sz w:val="18"/>
                      </w:rPr>
                      <w:t> </w:t>
                    </w:r>
                    <w:r>
                      <w:rPr>
                        <w:rFonts w:ascii="Arial Black"/>
                        <w:w w:val="85"/>
                        <w:sz w:val="18"/>
                      </w:rPr>
                      <w:t>01-</w:t>
                    </w:r>
                    <w:r>
                      <w:rPr>
                        <w:rFonts w:ascii="Arial Black"/>
                        <w:spacing w:val="-2"/>
                        <w:w w:val="85"/>
                        <w:sz w:val="18"/>
                      </w:rPr>
                      <w:t>2024)</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326720">
              <wp:simplePos x="0" y="0"/>
              <wp:positionH relativeFrom="page">
                <wp:posOffset>3794645</wp:posOffset>
              </wp:positionH>
              <wp:positionV relativeFrom="page">
                <wp:posOffset>9509675</wp:posOffset>
              </wp:positionV>
              <wp:extent cx="183515" cy="20764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83515" cy="207645"/>
                      </a:xfrm>
                      <a:prstGeom prst="rect">
                        <a:avLst/>
                      </a:prstGeom>
                    </wps:spPr>
                    <wps:txbx>
                      <w:txbxContent>
                        <w:p>
                          <w:pPr>
                            <w:pStyle w:val="BodyText"/>
                            <w:spacing w:before="34"/>
                            <w:ind w:left="20"/>
                            <w:rPr>
                              <w:rFonts w:ascii="Arial Black"/>
                            </w:rPr>
                          </w:pPr>
                          <w:r>
                            <w:rPr>
                              <w:rFonts w:ascii="Arial Black"/>
                            </w:rPr>
                            <w:t>-</w:t>
                          </w:r>
                          <w:r>
                            <w:rPr>
                              <w:rFonts w:ascii="Arial Black"/>
                              <w:spacing w:val="-5"/>
                            </w:rPr>
                            <w:fldChar w:fldCharType="begin"/>
                          </w:r>
                          <w:r>
                            <w:rPr>
                              <w:rFonts w:ascii="Arial Black"/>
                              <w:spacing w:val="-5"/>
                            </w:rPr>
                            <w:instrText> PAGE </w:instrText>
                          </w:r>
                          <w:r>
                            <w:rPr>
                              <w:rFonts w:ascii="Arial Black"/>
                              <w:spacing w:val="-5"/>
                            </w:rPr>
                            <w:fldChar w:fldCharType="separate"/>
                          </w:r>
                          <w:r>
                            <w:rPr>
                              <w:rFonts w:ascii="Arial Black"/>
                              <w:spacing w:val="-5"/>
                            </w:rPr>
                            <w:t>3</w:t>
                          </w:r>
                          <w:r>
                            <w:rPr>
                              <w:rFonts w:ascii="Arial Black"/>
                              <w:spacing w:val="-5"/>
                            </w:rPr>
                            <w:fldChar w:fldCharType="end"/>
                          </w:r>
                          <w:r>
                            <w:rPr>
                              <w:rFonts w:ascii="Arial Black"/>
                              <w:spacing w:val="-5"/>
                            </w:rPr>
                            <w:t>-</w:t>
                          </w:r>
                        </w:p>
                      </w:txbxContent>
                    </wps:txbx>
                    <wps:bodyPr wrap="square" lIns="0" tIns="0" rIns="0" bIns="0" rtlCol="0">
                      <a:noAutofit/>
                    </wps:bodyPr>
                  </wps:wsp>
                </a:graphicData>
              </a:graphic>
            </wp:anchor>
          </w:drawing>
        </mc:Choice>
        <mc:Fallback>
          <w:pict>
            <v:shape style="position:absolute;margin-left:298.790985pt;margin-top:748.793335pt;width:14.45pt;height:16.3500pt;mso-position-horizontal-relative:page;mso-position-vertical-relative:page;z-index:-15989760" type="#_x0000_t202" id="docshape32" filled="false" stroked="false">
              <v:textbox inset="0,0,0,0">
                <w:txbxContent>
                  <w:p>
                    <w:pPr>
                      <w:pStyle w:val="BodyText"/>
                      <w:spacing w:before="34"/>
                      <w:ind w:left="20"/>
                      <w:rPr>
                        <w:rFonts w:ascii="Arial Black"/>
                      </w:rPr>
                    </w:pPr>
                    <w:r>
                      <w:rPr>
                        <w:rFonts w:ascii="Arial Black"/>
                      </w:rPr>
                      <w:t>-</w:t>
                    </w:r>
                    <w:r>
                      <w:rPr>
                        <w:rFonts w:ascii="Arial Black"/>
                        <w:spacing w:val="-5"/>
                      </w:rPr>
                      <w:fldChar w:fldCharType="begin"/>
                    </w:r>
                    <w:r>
                      <w:rPr>
                        <w:rFonts w:ascii="Arial Black"/>
                        <w:spacing w:val="-5"/>
                      </w:rPr>
                      <w:instrText> PAGE </w:instrText>
                    </w:r>
                    <w:r>
                      <w:rPr>
                        <w:rFonts w:ascii="Arial Black"/>
                        <w:spacing w:val="-5"/>
                      </w:rPr>
                      <w:fldChar w:fldCharType="separate"/>
                    </w:r>
                    <w:r>
                      <w:rPr>
                        <w:rFonts w:ascii="Arial Black"/>
                        <w:spacing w:val="-5"/>
                      </w:rPr>
                      <w:t>3</w:t>
                    </w:r>
                    <w:r>
                      <w:rPr>
                        <w:rFonts w:ascii="Arial Black"/>
                        <w:spacing w:val="-5"/>
                      </w:rPr>
                      <w:fldChar w:fldCharType="end"/>
                    </w:r>
                    <w:r>
                      <w:rPr>
                        <w:rFonts w:ascii="Arial Black"/>
                        <w:spacing w:val="-5"/>
                      </w:rPr>
                      <w:t>-</w:t>
                    </w:r>
                  </w:p>
                </w:txbxContent>
              </v:textbox>
              <w10:wrap type="none"/>
            </v:shape>
          </w:pict>
        </mc:Fallback>
      </mc:AlternateContent>
    </w:r>
    <w:r>
      <w:rPr/>
      <mc:AlternateContent>
        <mc:Choice Requires="wps">
          <w:drawing>
            <wp:anchor distT="0" distB="0" distL="0" distR="0" allowOverlap="1" layoutInCell="1" locked="0" behindDoc="1" simplePos="0" relativeHeight="487327232">
              <wp:simplePos x="0" y="0"/>
              <wp:positionH relativeFrom="page">
                <wp:posOffset>520700</wp:posOffset>
              </wp:positionH>
              <wp:positionV relativeFrom="page">
                <wp:posOffset>9523400</wp:posOffset>
              </wp:positionV>
              <wp:extent cx="2512695" cy="18923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512695" cy="189230"/>
                      </a:xfrm>
                      <a:prstGeom prst="rect">
                        <a:avLst/>
                      </a:prstGeom>
                    </wps:spPr>
                    <wps:txbx>
                      <w:txbxContent>
                        <w:p>
                          <w:pPr>
                            <w:spacing w:before="33"/>
                            <w:ind w:left="20" w:right="0" w:firstLine="0"/>
                            <w:jc w:val="left"/>
                            <w:rPr>
                              <w:rFonts w:ascii="Arial Black"/>
                              <w:sz w:val="18"/>
                            </w:rPr>
                          </w:pPr>
                          <w:r>
                            <w:rPr>
                              <w:rFonts w:ascii="Arial Black"/>
                              <w:w w:val="85"/>
                              <w:sz w:val="18"/>
                            </w:rPr>
                            <w:t>Instructions</w:t>
                          </w:r>
                          <w:r>
                            <w:rPr>
                              <w:rFonts w:ascii="Arial Black"/>
                              <w:spacing w:val="1"/>
                              <w:sz w:val="18"/>
                            </w:rPr>
                            <w:t> </w:t>
                          </w:r>
                          <w:r>
                            <w:rPr>
                              <w:rFonts w:ascii="Arial Black"/>
                              <w:w w:val="85"/>
                              <w:sz w:val="18"/>
                            </w:rPr>
                            <w:t>for</w:t>
                          </w:r>
                          <w:r>
                            <w:rPr>
                              <w:rFonts w:ascii="Arial Black"/>
                              <w:spacing w:val="1"/>
                              <w:sz w:val="18"/>
                            </w:rPr>
                            <w:t> </w:t>
                          </w:r>
                          <w:r>
                            <w:rPr>
                              <w:rFonts w:ascii="Arial Black"/>
                              <w:w w:val="85"/>
                              <w:sz w:val="18"/>
                            </w:rPr>
                            <w:t>Form</w:t>
                          </w:r>
                          <w:r>
                            <w:rPr>
                              <w:rFonts w:ascii="Arial Black"/>
                              <w:spacing w:val="1"/>
                              <w:sz w:val="18"/>
                            </w:rPr>
                            <w:t> </w:t>
                          </w:r>
                          <w:r>
                            <w:rPr>
                              <w:rFonts w:ascii="Arial Black"/>
                              <w:w w:val="85"/>
                              <w:sz w:val="18"/>
                            </w:rPr>
                            <w:t>1099-DIV</w:t>
                          </w:r>
                          <w:r>
                            <w:rPr>
                              <w:rFonts w:ascii="Arial Black"/>
                              <w:spacing w:val="1"/>
                              <w:sz w:val="18"/>
                            </w:rPr>
                            <w:t> </w:t>
                          </w:r>
                          <w:r>
                            <w:rPr>
                              <w:rFonts w:ascii="Arial Black"/>
                              <w:w w:val="85"/>
                              <w:sz w:val="18"/>
                            </w:rPr>
                            <w:t>(Rev.</w:t>
                          </w:r>
                          <w:r>
                            <w:rPr>
                              <w:rFonts w:ascii="Arial Black"/>
                              <w:spacing w:val="1"/>
                              <w:sz w:val="18"/>
                            </w:rPr>
                            <w:t> </w:t>
                          </w:r>
                          <w:r>
                            <w:rPr>
                              <w:rFonts w:ascii="Arial Black"/>
                              <w:w w:val="85"/>
                              <w:sz w:val="18"/>
                            </w:rPr>
                            <w:t>01-</w:t>
                          </w:r>
                          <w:r>
                            <w:rPr>
                              <w:rFonts w:ascii="Arial Black"/>
                              <w:spacing w:val="-2"/>
                              <w:w w:val="85"/>
                              <w:sz w:val="18"/>
                            </w:rPr>
                            <w:t>2024)</w:t>
                          </w:r>
                        </w:p>
                      </w:txbxContent>
                    </wps:txbx>
                    <wps:bodyPr wrap="square" lIns="0" tIns="0" rIns="0" bIns="0" rtlCol="0">
                      <a:noAutofit/>
                    </wps:bodyPr>
                  </wps:wsp>
                </a:graphicData>
              </a:graphic>
            </wp:anchor>
          </w:drawing>
        </mc:Choice>
        <mc:Fallback>
          <w:pict>
            <v:shape style="position:absolute;margin-left:41pt;margin-top:749.874023pt;width:197.85pt;height:14.9pt;mso-position-horizontal-relative:page;mso-position-vertical-relative:page;z-index:-15989248" type="#_x0000_t202" id="docshape33" filled="false" stroked="false">
              <v:textbox inset="0,0,0,0">
                <w:txbxContent>
                  <w:p>
                    <w:pPr>
                      <w:spacing w:before="33"/>
                      <w:ind w:left="20" w:right="0" w:firstLine="0"/>
                      <w:jc w:val="left"/>
                      <w:rPr>
                        <w:rFonts w:ascii="Arial Black"/>
                        <w:sz w:val="18"/>
                      </w:rPr>
                    </w:pPr>
                    <w:r>
                      <w:rPr>
                        <w:rFonts w:ascii="Arial Black"/>
                        <w:w w:val="85"/>
                        <w:sz w:val="18"/>
                      </w:rPr>
                      <w:t>Instructions</w:t>
                    </w:r>
                    <w:r>
                      <w:rPr>
                        <w:rFonts w:ascii="Arial Black"/>
                        <w:spacing w:val="1"/>
                        <w:sz w:val="18"/>
                      </w:rPr>
                      <w:t> </w:t>
                    </w:r>
                    <w:r>
                      <w:rPr>
                        <w:rFonts w:ascii="Arial Black"/>
                        <w:w w:val="85"/>
                        <w:sz w:val="18"/>
                      </w:rPr>
                      <w:t>for</w:t>
                    </w:r>
                    <w:r>
                      <w:rPr>
                        <w:rFonts w:ascii="Arial Black"/>
                        <w:spacing w:val="1"/>
                        <w:sz w:val="18"/>
                      </w:rPr>
                      <w:t> </w:t>
                    </w:r>
                    <w:r>
                      <w:rPr>
                        <w:rFonts w:ascii="Arial Black"/>
                        <w:w w:val="85"/>
                        <w:sz w:val="18"/>
                      </w:rPr>
                      <w:t>Form</w:t>
                    </w:r>
                    <w:r>
                      <w:rPr>
                        <w:rFonts w:ascii="Arial Black"/>
                        <w:spacing w:val="1"/>
                        <w:sz w:val="18"/>
                      </w:rPr>
                      <w:t> </w:t>
                    </w:r>
                    <w:r>
                      <w:rPr>
                        <w:rFonts w:ascii="Arial Black"/>
                        <w:w w:val="85"/>
                        <w:sz w:val="18"/>
                      </w:rPr>
                      <w:t>1099-DIV</w:t>
                    </w:r>
                    <w:r>
                      <w:rPr>
                        <w:rFonts w:ascii="Arial Black"/>
                        <w:spacing w:val="1"/>
                        <w:sz w:val="18"/>
                      </w:rPr>
                      <w:t> </w:t>
                    </w:r>
                    <w:r>
                      <w:rPr>
                        <w:rFonts w:ascii="Arial Black"/>
                        <w:w w:val="85"/>
                        <w:sz w:val="18"/>
                      </w:rPr>
                      <w:t>(Rev.</w:t>
                    </w:r>
                    <w:r>
                      <w:rPr>
                        <w:rFonts w:ascii="Arial Black"/>
                        <w:spacing w:val="1"/>
                        <w:sz w:val="18"/>
                      </w:rPr>
                      <w:t> </w:t>
                    </w:r>
                    <w:r>
                      <w:rPr>
                        <w:rFonts w:ascii="Arial Black"/>
                        <w:w w:val="85"/>
                        <w:sz w:val="18"/>
                      </w:rPr>
                      <w:t>01-</w:t>
                    </w:r>
                    <w:r>
                      <w:rPr>
                        <w:rFonts w:ascii="Arial Black"/>
                        <w:spacing w:val="-2"/>
                        <w:w w:val="85"/>
                        <w:sz w:val="18"/>
                      </w:rPr>
                      <w:t>2024)</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327744">
              <wp:simplePos x="0" y="0"/>
              <wp:positionH relativeFrom="page">
                <wp:posOffset>3794633</wp:posOffset>
              </wp:positionH>
              <wp:positionV relativeFrom="page">
                <wp:posOffset>9509675</wp:posOffset>
              </wp:positionV>
              <wp:extent cx="183515" cy="20764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83515" cy="207645"/>
                      </a:xfrm>
                      <a:prstGeom prst="rect">
                        <a:avLst/>
                      </a:prstGeom>
                    </wps:spPr>
                    <wps:txbx>
                      <w:txbxContent>
                        <w:p>
                          <w:pPr>
                            <w:pStyle w:val="BodyText"/>
                            <w:spacing w:before="34"/>
                            <w:ind w:left="20"/>
                            <w:rPr>
                              <w:rFonts w:ascii="Arial Black"/>
                            </w:rPr>
                          </w:pPr>
                          <w:r>
                            <w:rPr>
                              <w:rFonts w:ascii="Arial Black"/>
                            </w:rPr>
                            <w:t>-</w:t>
                          </w:r>
                          <w:r>
                            <w:rPr>
                              <w:rFonts w:ascii="Arial Black"/>
                              <w:spacing w:val="-5"/>
                            </w:rPr>
                            <w:fldChar w:fldCharType="begin"/>
                          </w:r>
                          <w:r>
                            <w:rPr>
                              <w:rFonts w:ascii="Arial Black"/>
                              <w:spacing w:val="-5"/>
                            </w:rPr>
                            <w:instrText> PAGE </w:instrText>
                          </w:r>
                          <w:r>
                            <w:rPr>
                              <w:rFonts w:ascii="Arial Black"/>
                              <w:spacing w:val="-5"/>
                            </w:rPr>
                            <w:fldChar w:fldCharType="separate"/>
                          </w:r>
                          <w:r>
                            <w:rPr>
                              <w:rFonts w:ascii="Arial Black"/>
                              <w:spacing w:val="-5"/>
                            </w:rPr>
                            <w:t>4</w:t>
                          </w:r>
                          <w:r>
                            <w:rPr>
                              <w:rFonts w:ascii="Arial Black"/>
                              <w:spacing w:val="-5"/>
                            </w:rPr>
                            <w:fldChar w:fldCharType="end"/>
                          </w:r>
                          <w:r>
                            <w:rPr>
                              <w:rFonts w:ascii="Arial Black"/>
                              <w:spacing w:val="-5"/>
                            </w:rPr>
                            <w:t>-</w:t>
                          </w:r>
                        </w:p>
                      </w:txbxContent>
                    </wps:txbx>
                    <wps:bodyPr wrap="square" lIns="0" tIns="0" rIns="0" bIns="0" rtlCol="0">
                      <a:noAutofit/>
                    </wps:bodyPr>
                  </wps:wsp>
                </a:graphicData>
              </a:graphic>
            </wp:anchor>
          </w:drawing>
        </mc:Choice>
        <mc:Fallback>
          <w:pict>
            <v:shape style="position:absolute;margin-left:298.790009pt;margin-top:748.793335pt;width:14.45pt;height:16.3500pt;mso-position-horizontal-relative:page;mso-position-vertical-relative:page;z-index:-15988736" type="#_x0000_t202" id="docshape34" filled="false" stroked="false">
              <v:textbox inset="0,0,0,0">
                <w:txbxContent>
                  <w:p>
                    <w:pPr>
                      <w:pStyle w:val="BodyText"/>
                      <w:spacing w:before="34"/>
                      <w:ind w:left="20"/>
                      <w:rPr>
                        <w:rFonts w:ascii="Arial Black"/>
                      </w:rPr>
                    </w:pPr>
                    <w:r>
                      <w:rPr>
                        <w:rFonts w:ascii="Arial Black"/>
                      </w:rPr>
                      <w:t>-</w:t>
                    </w:r>
                    <w:r>
                      <w:rPr>
                        <w:rFonts w:ascii="Arial Black"/>
                        <w:spacing w:val="-5"/>
                      </w:rPr>
                      <w:fldChar w:fldCharType="begin"/>
                    </w:r>
                    <w:r>
                      <w:rPr>
                        <w:rFonts w:ascii="Arial Black"/>
                        <w:spacing w:val="-5"/>
                      </w:rPr>
                      <w:instrText> PAGE </w:instrText>
                    </w:r>
                    <w:r>
                      <w:rPr>
                        <w:rFonts w:ascii="Arial Black"/>
                        <w:spacing w:val="-5"/>
                      </w:rPr>
                      <w:fldChar w:fldCharType="separate"/>
                    </w:r>
                    <w:r>
                      <w:rPr>
                        <w:rFonts w:ascii="Arial Black"/>
                        <w:spacing w:val="-5"/>
                      </w:rPr>
                      <w:t>4</w:t>
                    </w:r>
                    <w:r>
                      <w:rPr>
                        <w:rFonts w:ascii="Arial Black"/>
                        <w:spacing w:val="-5"/>
                      </w:rPr>
                      <w:fldChar w:fldCharType="end"/>
                    </w:r>
                    <w:r>
                      <w:rPr>
                        <w:rFonts w:ascii="Arial Black"/>
                        <w:spacing w:val="-5"/>
                      </w:rPr>
                      <w:t>-</w:t>
                    </w:r>
                  </w:p>
                </w:txbxContent>
              </v:textbox>
              <w10:wrap type="none"/>
            </v:shape>
          </w:pict>
        </mc:Fallback>
      </mc:AlternateContent>
    </w:r>
    <w:r>
      <w:rPr/>
      <mc:AlternateContent>
        <mc:Choice Requires="wps">
          <w:drawing>
            <wp:anchor distT="0" distB="0" distL="0" distR="0" allowOverlap="1" layoutInCell="1" locked="0" behindDoc="1" simplePos="0" relativeHeight="487328256">
              <wp:simplePos x="0" y="0"/>
              <wp:positionH relativeFrom="page">
                <wp:posOffset>4740389</wp:posOffset>
              </wp:positionH>
              <wp:positionV relativeFrom="page">
                <wp:posOffset>9523400</wp:posOffset>
              </wp:positionV>
              <wp:extent cx="2512695" cy="18923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512695" cy="189230"/>
                      </a:xfrm>
                      <a:prstGeom prst="rect">
                        <a:avLst/>
                      </a:prstGeom>
                    </wps:spPr>
                    <wps:txbx>
                      <w:txbxContent>
                        <w:p>
                          <w:pPr>
                            <w:spacing w:before="33"/>
                            <w:ind w:left="20" w:right="0" w:firstLine="0"/>
                            <w:jc w:val="left"/>
                            <w:rPr>
                              <w:rFonts w:ascii="Arial Black"/>
                              <w:sz w:val="18"/>
                            </w:rPr>
                          </w:pPr>
                          <w:r>
                            <w:rPr>
                              <w:rFonts w:ascii="Arial Black"/>
                              <w:w w:val="85"/>
                              <w:sz w:val="18"/>
                            </w:rPr>
                            <w:t>Instructions</w:t>
                          </w:r>
                          <w:r>
                            <w:rPr>
                              <w:rFonts w:ascii="Arial Black"/>
                              <w:spacing w:val="1"/>
                              <w:sz w:val="18"/>
                            </w:rPr>
                            <w:t> </w:t>
                          </w:r>
                          <w:r>
                            <w:rPr>
                              <w:rFonts w:ascii="Arial Black"/>
                              <w:w w:val="85"/>
                              <w:sz w:val="18"/>
                            </w:rPr>
                            <w:t>for</w:t>
                          </w:r>
                          <w:r>
                            <w:rPr>
                              <w:rFonts w:ascii="Arial Black"/>
                              <w:spacing w:val="1"/>
                              <w:sz w:val="18"/>
                            </w:rPr>
                            <w:t> </w:t>
                          </w:r>
                          <w:r>
                            <w:rPr>
                              <w:rFonts w:ascii="Arial Black"/>
                              <w:w w:val="85"/>
                              <w:sz w:val="18"/>
                            </w:rPr>
                            <w:t>Form</w:t>
                          </w:r>
                          <w:r>
                            <w:rPr>
                              <w:rFonts w:ascii="Arial Black"/>
                              <w:spacing w:val="1"/>
                              <w:sz w:val="18"/>
                            </w:rPr>
                            <w:t> </w:t>
                          </w:r>
                          <w:r>
                            <w:rPr>
                              <w:rFonts w:ascii="Arial Black"/>
                              <w:w w:val="85"/>
                              <w:sz w:val="18"/>
                            </w:rPr>
                            <w:t>1099-DIV</w:t>
                          </w:r>
                          <w:r>
                            <w:rPr>
                              <w:rFonts w:ascii="Arial Black"/>
                              <w:spacing w:val="1"/>
                              <w:sz w:val="18"/>
                            </w:rPr>
                            <w:t> </w:t>
                          </w:r>
                          <w:r>
                            <w:rPr>
                              <w:rFonts w:ascii="Arial Black"/>
                              <w:w w:val="85"/>
                              <w:sz w:val="18"/>
                            </w:rPr>
                            <w:t>(Rev.</w:t>
                          </w:r>
                          <w:r>
                            <w:rPr>
                              <w:rFonts w:ascii="Arial Black"/>
                              <w:spacing w:val="1"/>
                              <w:sz w:val="18"/>
                            </w:rPr>
                            <w:t> </w:t>
                          </w:r>
                          <w:r>
                            <w:rPr>
                              <w:rFonts w:ascii="Arial Black"/>
                              <w:w w:val="85"/>
                              <w:sz w:val="18"/>
                            </w:rPr>
                            <w:t>01-</w:t>
                          </w:r>
                          <w:r>
                            <w:rPr>
                              <w:rFonts w:ascii="Arial Black"/>
                              <w:spacing w:val="-2"/>
                              <w:w w:val="85"/>
                              <w:sz w:val="18"/>
                            </w:rPr>
                            <w:t>2024)</w:t>
                          </w:r>
                        </w:p>
                      </w:txbxContent>
                    </wps:txbx>
                    <wps:bodyPr wrap="square" lIns="0" tIns="0" rIns="0" bIns="0" rtlCol="0">
                      <a:noAutofit/>
                    </wps:bodyPr>
                  </wps:wsp>
                </a:graphicData>
              </a:graphic>
            </wp:anchor>
          </w:drawing>
        </mc:Choice>
        <mc:Fallback>
          <w:pict>
            <v:shape style="position:absolute;margin-left:373.259003pt;margin-top:749.874023pt;width:197.85pt;height:14.9pt;mso-position-horizontal-relative:page;mso-position-vertical-relative:page;z-index:-15988224" type="#_x0000_t202" id="docshape35" filled="false" stroked="false">
              <v:textbox inset="0,0,0,0">
                <w:txbxContent>
                  <w:p>
                    <w:pPr>
                      <w:spacing w:before="33"/>
                      <w:ind w:left="20" w:right="0" w:firstLine="0"/>
                      <w:jc w:val="left"/>
                      <w:rPr>
                        <w:rFonts w:ascii="Arial Black"/>
                        <w:sz w:val="18"/>
                      </w:rPr>
                    </w:pPr>
                    <w:r>
                      <w:rPr>
                        <w:rFonts w:ascii="Arial Black"/>
                        <w:w w:val="85"/>
                        <w:sz w:val="18"/>
                      </w:rPr>
                      <w:t>Instructions</w:t>
                    </w:r>
                    <w:r>
                      <w:rPr>
                        <w:rFonts w:ascii="Arial Black"/>
                        <w:spacing w:val="1"/>
                        <w:sz w:val="18"/>
                      </w:rPr>
                      <w:t> </w:t>
                    </w:r>
                    <w:r>
                      <w:rPr>
                        <w:rFonts w:ascii="Arial Black"/>
                        <w:w w:val="85"/>
                        <w:sz w:val="18"/>
                      </w:rPr>
                      <w:t>for</w:t>
                    </w:r>
                    <w:r>
                      <w:rPr>
                        <w:rFonts w:ascii="Arial Black"/>
                        <w:spacing w:val="1"/>
                        <w:sz w:val="18"/>
                      </w:rPr>
                      <w:t> </w:t>
                    </w:r>
                    <w:r>
                      <w:rPr>
                        <w:rFonts w:ascii="Arial Black"/>
                        <w:w w:val="85"/>
                        <w:sz w:val="18"/>
                      </w:rPr>
                      <w:t>Form</w:t>
                    </w:r>
                    <w:r>
                      <w:rPr>
                        <w:rFonts w:ascii="Arial Black"/>
                        <w:spacing w:val="1"/>
                        <w:sz w:val="18"/>
                      </w:rPr>
                      <w:t> </w:t>
                    </w:r>
                    <w:r>
                      <w:rPr>
                        <w:rFonts w:ascii="Arial Black"/>
                        <w:w w:val="85"/>
                        <w:sz w:val="18"/>
                      </w:rPr>
                      <w:t>1099-DIV</w:t>
                    </w:r>
                    <w:r>
                      <w:rPr>
                        <w:rFonts w:ascii="Arial Black"/>
                        <w:spacing w:val="1"/>
                        <w:sz w:val="18"/>
                      </w:rPr>
                      <w:t> </w:t>
                    </w:r>
                    <w:r>
                      <w:rPr>
                        <w:rFonts w:ascii="Arial Black"/>
                        <w:w w:val="85"/>
                        <w:sz w:val="18"/>
                      </w:rPr>
                      <w:t>(Rev.</w:t>
                    </w:r>
                    <w:r>
                      <w:rPr>
                        <w:rFonts w:ascii="Arial Black"/>
                        <w:spacing w:val="1"/>
                        <w:sz w:val="18"/>
                      </w:rPr>
                      <w:t> </w:t>
                    </w:r>
                    <w:r>
                      <w:rPr>
                        <w:rFonts w:ascii="Arial Black"/>
                        <w:w w:val="85"/>
                        <w:sz w:val="18"/>
                      </w:rPr>
                      <w:t>01-</w:t>
                    </w:r>
                    <w:r>
                      <w:rPr>
                        <w:rFonts w:ascii="Arial Black"/>
                        <w:spacing w:val="-2"/>
                        <w:w w:val="85"/>
                        <w:sz w:val="18"/>
                      </w:rPr>
                      <w:t>2024)</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19" w:hanging="300"/>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642" w:hanging="300"/>
      </w:pPr>
      <w:rPr>
        <w:rFonts w:hint="default"/>
        <w:lang w:val="en-US" w:eastAsia="en-US" w:bidi="ar-SA"/>
      </w:rPr>
    </w:lvl>
    <w:lvl w:ilvl="2">
      <w:start w:val="0"/>
      <w:numFmt w:val="bullet"/>
      <w:lvlText w:val="•"/>
      <w:lvlJc w:val="left"/>
      <w:pPr>
        <w:ind w:left="1163" w:hanging="300"/>
      </w:pPr>
      <w:rPr>
        <w:rFonts w:hint="default"/>
        <w:lang w:val="en-US" w:eastAsia="en-US" w:bidi="ar-SA"/>
      </w:rPr>
    </w:lvl>
    <w:lvl w:ilvl="3">
      <w:start w:val="0"/>
      <w:numFmt w:val="bullet"/>
      <w:lvlText w:val="•"/>
      <w:lvlJc w:val="left"/>
      <w:pPr>
        <w:ind w:left="1685" w:hanging="300"/>
      </w:pPr>
      <w:rPr>
        <w:rFonts w:hint="default"/>
        <w:lang w:val="en-US" w:eastAsia="en-US" w:bidi="ar-SA"/>
      </w:rPr>
    </w:lvl>
    <w:lvl w:ilvl="4">
      <w:start w:val="0"/>
      <w:numFmt w:val="bullet"/>
      <w:lvlText w:val="•"/>
      <w:lvlJc w:val="left"/>
      <w:pPr>
        <w:ind w:left="2207" w:hanging="300"/>
      </w:pPr>
      <w:rPr>
        <w:rFonts w:hint="default"/>
        <w:lang w:val="en-US" w:eastAsia="en-US" w:bidi="ar-SA"/>
      </w:rPr>
    </w:lvl>
    <w:lvl w:ilvl="5">
      <w:start w:val="0"/>
      <w:numFmt w:val="bullet"/>
      <w:lvlText w:val="•"/>
      <w:lvlJc w:val="left"/>
      <w:pPr>
        <w:ind w:left="2729" w:hanging="300"/>
      </w:pPr>
      <w:rPr>
        <w:rFonts w:hint="default"/>
        <w:lang w:val="en-US" w:eastAsia="en-US" w:bidi="ar-SA"/>
      </w:rPr>
    </w:lvl>
    <w:lvl w:ilvl="6">
      <w:start w:val="0"/>
      <w:numFmt w:val="bullet"/>
      <w:lvlText w:val="•"/>
      <w:lvlJc w:val="left"/>
      <w:pPr>
        <w:ind w:left="3251" w:hanging="300"/>
      </w:pPr>
      <w:rPr>
        <w:rFonts w:hint="default"/>
        <w:lang w:val="en-US" w:eastAsia="en-US" w:bidi="ar-SA"/>
      </w:rPr>
    </w:lvl>
    <w:lvl w:ilvl="7">
      <w:start w:val="0"/>
      <w:numFmt w:val="bullet"/>
      <w:lvlText w:val="•"/>
      <w:lvlJc w:val="left"/>
      <w:pPr>
        <w:ind w:left="3773" w:hanging="300"/>
      </w:pPr>
      <w:rPr>
        <w:rFonts w:hint="default"/>
        <w:lang w:val="en-US" w:eastAsia="en-US" w:bidi="ar-SA"/>
      </w:rPr>
    </w:lvl>
    <w:lvl w:ilvl="8">
      <w:start w:val="0"/>
      <w:numFmt w:val="bullet"/>
      <w:lvlText w:val="•"/>
      <w:lvlJc w:val="left"/>
      <w:pPr>
        <w:ind w:left="4295" w:hanging="300"/>
      </w:pPr>
      <w:rPr>
        <w:rFonts w:hint="default"/>
        <w:lang w:val="en-US" w:eastAsia="en-US" w:bidi="ar-SA"/>
      </w:rPr>
    </w:lvl>
  </w:abstractNum>
  <w:abstractNum w:abstractNumId="2">
    <w:multiLevelType w:val="hybridMultilevel"/>
    <w:lvl w:ilvl="0">
      <w:start w:val="1"/>
      <w:numFmt w:val="decimal"/>
      <w:lvlText w:val="%1."/>
      <w:lvlJc w:val="left"/>
      <w:pPr>
        <w:ind w:left="660" w:hanging="300"/>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116" w:hanging="300"/>
      </w:pPr>
      <w:rPr>
        <w:rFonts w:hint="default"/>
        <w:lang w:val="en-US" w:eastAsia="en-US" w:bidi="ar-SA"/>
      </w:rPr>
    </w:lvl>
    <w:lvl w:ilvl="2">
      <w:start w:val="0"/>
      <w:numFmt w:val="bullet"/>
      <w:lvlText w:val="•"/>
      <w:lvlJc w:val="left"/>
      <w:pPr>
        <w:ind w:left="1573" w:hanging="300"/>
      </w:pPr>
      <w:rPr>
        <w:rFonts w:hint="default"/>
        <w:lang w:val="en-US" w:eastAsia="en-US" w:bidi="ar-SA"/>
      </w:rPr>
    </w:lvl>
    <w:lvl w:ilvl="3">
      <w:start w:val="0"/>
      <w:numFmt w:val="bullet"/>
      <w:lvlText w:val="•"/>
      <w:lvlJc w:val="left"/>
      <w:pPr>
        <w:ind w:left="2030" w:hanging="300"/>
      </w:pPr>
      <w:rPr>
        <w:rFonts w:hint="default"/>
        <w:lang w:val="en-US" w:eastAsia="en-US" w:bidi="ar-SA"/>
      </w:rPr>
    </w:lvl>
    <w:lvl w:ilvl="4">
      <w:start w:val="0"/>
      <w:numFmt w:val="bullet"/>
      <w:lvlText w:val="•"/>
      <w:lvlJc w:val="left"/>
      <w:pPr>
        <w:ind w:left="2487" w:hanging="300"/>
      </w:pPr>
      <w:rPr>
        <w:rFonts w:hint="default"/>
        <w:lang w:val="en-US" w:eastAsia="en-US" w:bidi="ar-SA"/>
      </w:rPr>
    </w:lvl>
    <w:lvl w:ilvl="5">
      <w:start w:val="0"/>
      <w:numFmt w:val="bullet"/>
      <w:lvlText w:val="•"/>
      <w:lvlJc w:val="left"/>
      <w:pPr>
        <w:ind w:left="2944" w:hanging="300"/>
      </w:pPr>
      <w:rPr>
        <w:rFonts w:hint="default"/>
        <w:lang w:val="en-US" w:eastAsia="en-US" w:bidi="ar-SA"/>
      </w:rPr>
    </w:lvl>
    <w:lvl w:ilvl="6">
      <w:start w:val="0"/>
      <w:numFmt w:val="bullet"/>
      <w:lvlText w:val="•"/>
      <w:lvlJc w:val="left"/>
      <w:pPr>
        <w:ind w:left="3401" w:hanging="300"/>
      </w:pPr>
      <w:rPr>
        <w:rFonts w:hint="default"/>
        <w:lang w:val="en-US" w:eastAsia="en-US" w:bidi="ar-SA"/>
      </w:rPr>
    </w:lvl>
    <w:lvl w:ilvl="7">
      <w:start w:val="0"/>
      <w:numFmt w:val="bullet"/>
      <w:lvlText w:val="•"/>
      <w:lvlJc w:val="left"/>
      <w:pPr>
        <w:ind w:left="3858" w:hanging="300"/>
      </w:pPr>
      <w:rPr>
        <w:rFonts w:hint="default"/>
        <w:lang w:val="en-US" w:eastAsia="en-US" w:bidi="ar-SA"/>
      </w:rPr>
    </w:lvl>
    <w:lvl w:ilvl="8">
      <w:start w:val="0"/>
      <w:numFmt w:val="bullet"/>
      <w:lvlText w:val="•"/>
      <w:lvlJc w:val="left"/>
      <w:pPr>
        <w:ind w:left="4315" w:hanging="300"/>
      </w:pPr>
      <w:rPr>
        <w:rFonts w:hint="default"/>
        <w:lang w:val="en-US" w:eastAsia="en-US" w:bidi="ar-SA"/>
      </w:rPr>
    </w:lvl>
  </w:abstractNum>
  <w:abstractNum w:abstractNumId="1">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642" w:hanging="300"/>
      </w:pPr>
      <w:rPr>
        <w:rFonts w:hint="default"/>
        <w:lang w:val="en-US" w:eastAsia="en-US" w:bidi="ar-SA"/>
      </w:rPr>
    </w:lvl>
    <w:lvl w:ilvl="2">
      <w:start w:val="0"/>
      <w:numFmt w:val="bullet"/>
      <w:lvlText w:val="•"/>
      <w:lvlJc w:val="left"/>
      <w:pPr>
        <w:ind w:left="1164" w:hanging="300"/>
      </w:pPr>
      <w:rPr>
        <w:rFonts w:hint="default"/>
        <w:lang w:val="en-US" w:eastAsia="en-US" w:bidi="ar-SA"/>
      </w:rPr>
    </w:lvl>
    <w:lvl w:ilvl="3">
      <w:start w:val="0"/>
      <w:numFmt w:val="bullet"/>
      <w:lvlText w:val="•"/>
      <w:lvlJc w:val="left"/>
      <w:pPr>
        <w:ind w:left="1686" w:hanging="300"/>
      </w:pPr>
      <w:rPr>
        <w:rFonts w:hint="default"/>
        <w:lang w:val="en-US" w:eastAsia="en-US" w:bidi="ar-SA"/>
      </w:rPr>
    </w:lvl>
    <w:lvl w:ilvl="4">
      <w:start w:val="0"/>
      <w:numFmt w:val="bullet"/>
      <w:lvlText w:val="•"/>
      <w:lvlJc w:val="left"/>
      <w:pPr>
        <w:ind w:left="2208" w:hanging="300"/>
      </w:pPr>
      <w:rPr>
        <w:rFonts w:hint="default"/>
        <w:lang w:val="en-US" w:eastAsia="en-US" w:bidi="ar-SA"/>
      </w:rPr>
    </w:lvl>
    <w:lvl w:ilvl="5">
      <w:start w:val="0"/>
      <w:numFmt w:val="bullet"/>
      <w:lvlText w:val="•"/>
      <w:lvlJc w:val="left"/>
      <w:pPr>
        <w:ind w:left="2730" w:hanging="300"/>
      </w:pPr>
      <w:rPr>
        <w:rFonts w:hint="default"/>
        <w:lang w:val="en-US" w:eastAsia="en-US" w:bidi="ar-SA"/>
      </w:rPr>
    </w:lvl>
    <w:lvl w:ilvl="6">
      <w:start w:val="0"/>
      <w:numFmt w:val="bullet"/>
      <w:lvlText w:val="•"/>
      <w:lvlJc w:val="left"/>
      <w:pPr>
        <w:ind w:left="3252" w:hanging="300"/>
      </w:pPr>
      <w:rPr>
        <w:rFonts w:hint="default"/>
        <w:lang w:val="en-US" w:eastAsia="en-US" w:bidi="ar-SA"/>
      </w:rPr>
    </w:lvl>
    <w:lvl w:ilvl="7">
      <w:start w:val="0"/>
      <w:numFmt w:val="bullet"/>
      <w:lvlText w:val="•"/>
      <w:lvlJc w:val="left"/>
      <w:pPr>
        <w:ind w:left="3774" w:hanging="300"/>
      </w:pPr>
      <w:rPr>
        <w:rFonts w:hint="default"/>
        <w:lang w:val="en-US" w:eastAsia="en-US" w:bidi="ar-SA"/>
      </w:rPr>
    </w:lvl>
    <w:lvl w:ilvl="8">
      <w:start w:val="0"/>
      <w:numFmt w:val="bullet"/>
      <w:lvlText w:val="•"/>
      <w:lvlJc w:val="left"/>
      <w:pPr>
        <w:ind w:left="4296" w:hanging="300"/>
      </w:pPr>
      <w:rPr>
        <w:rFonts w:hint="default"/>
        <w:lang w:val="en-US" w:eastAsia="en-US" w:bidi="ar-SA"/>
      </w:rPr>
    </w:lvl>
  </w:abstractNum>
  <w:abstractNum w:abstractNumId="0">
    <w:multiLevelType w:val="hybridMultilevel"/>
    <w:lvl w:ilvl="0">
      <w:start w:val="0"/>
      <w:numFmt w:val="bullet"/>
      <w:lvlText w:val="•"/>
      <w:lvlJc w:val="left"/>
      <w:pPr>
        <w:ind w:left="120" w:hanging="195"/>
      </w:pPr>
      <w:rPr>
        <w:rFonts w:hint="default" w:ascii="Arial MT" w:hAnsi="Arial MT" w:eastAsia="Arial MT" w:cs="Arial MT"/>
        <w:b w:val="0"/>
        <w:bCs w:val="0"/>
        <w:i w:val="0"/>
        <w:iCs w:val="0"/>
        <w:spacing w:val="0"/>
        <w:w w:val="111"/>
        <w:sz w:val="24"/>
        <w:szCs w:val="24"/>
        <w:lang w:val="en-US" w:eastAsia="en-US" w:bidi="ar-SA"/>
      </w:rPr>
    </w:lvl>
    <w:lvl w:ilvl="1">
      <w:start w:val="0"/>
      <w:numFmt w:val="bullet"/>
      <w:lvlText w:val="•"/>
      <w:lvlJc w:val="left"/>
      <w:pPr>
        <w:ind w:left="633" w:hanging="195"/>
      </w:pPr>
      <w:rPr>
        <w:rFonts w:hint="default"/>
        <w:lang w:val="en-US" w:eastAsia="en-US" w:bidi="ar-SA"/>
      </w:rPr>
    </w:lvl>
    <w:lvl w:ilvl="2">
      <w:start w:val="0"/>
      <w:numFmt w:val="bullet"/>
      <w:lvlText w:val="•"/>
      <w:lvlJc w:val="left"/>
      <w:pPr>
        <w:ind w:left="1146" w:hanging="195"/>
      </w:pPr>
      <w:rPr>
        <w:rFonts w:hint="default"/>
        <w:lang w:val="en-US" w:eastAsia="en-US" w:bidi="ar-SA"/>
      </w:rPr>
    </w:lvl>
    <w:lvl w:ilvl="3">
      <w:start w:val="0"/>
      <w:numFmt w:val="bullet"/>
      <w:lvlText w:val="•"/>
      <w:lvlJc w:val="left"/>
      <w:pPr>
        <w:ind w:left="1659" w:hanging="195"/>
      </w:pPr>
      <w:rPr>
        <w:rFonts w:hint="default"/>
        <w:lang w:val="en-US" w:eastAsia="en-US" w:bidi="ar-SA"/>
      </w:rPr>
    </w:lvl>
    <w:lvl w:ilvl="4">
      <w:start w:val="0"/>
      <w:numFmt w:val="bullet"/>
      <w:lvlText w:val="•"/>
      <w:lvlJc w:val="left"/>
      <w:pPr>
        <w:ind w:left="2173" w:hanging="195"/>
      </w:pPr>
      <w:rPr>
        <w:rFonts w:hint="default"/>
        <w:lang w:val="en-US" w:eastAsia="en-US" w:bidi="ar-SA"/>
      </w:rPr>
    </w:lvl>
    <w:lvl w:ilvl="5">
      <w:start w:val="0"/>
      <w:numFmt w:val="bullet"/>
      <w:lvlText w:val="•"/>
      <w:lvlJc w:val="left"/>
      <w:pPr>
        <w:ind w:left="2686" w:hanging="195"/>
      </w:pPr>
      <w:rPr>
        <w:rFonts w:hint="default"/>
        <w:lang w:val="en-US" w:eastAsia="en-US" w:bidi="ar-SA"/>
      </w:rPr>
    </w:lvl>
    <w:lvl w:ilvl="6">
      <w:start w:val="0"/>
      <w:numFmt w:val="bullet"/>
      <w:lvlText w:val="•"/>
      <w:lvlJc w:val="left"/>
      <w:pPr>
        <w:ind w:left="3199" w:hanging="195"/>
      </w:pPr>
      <w:rPr>
        <w:rFonts w:hint="default"/>
        <w:lang w:val="en-US" w:eastAsia="en-US" w:bidi="ar-SA"/>
      </w:rPr>
    </w:lvl>
    <w:lvl w:ilvl="7">
      <w:start w:val="0"/>
      <w:numFmt w:val="bullet"/>
      <w:lvlText w:val="•"/>
      <w:lvlJc w:val="left"/>
      <w:pPr>
        <w:ind w:left="3713" w:hanging="195"/>
      </w:pPr>
      <w:rPr>
        <w:rFonts w:hint="default"/>
        <w:lang w:val="en-US" w:eastAsia="en-US" w:bidi="ar-SA"/>
      </w:rPr>
    </w:lvl>
    <w:lvl w:ilvl="8">
      <w:start w:val="0"/>
      <w:numFmt w:val="bullet"/>
      <w:lvlText w:val="•"/>
      <w:lvlJc w:val="left"/>
      <w:pPr>
        <w:ind w:left="4226" w:hanging="195"/>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120"/>
    </w:pPr>
    <w:rPr>
      <w:rFonts w:ascii="Arial MT" w:hAnsi="Arial MT" w:eastAsia="Arial MT" w:cs="Arial MT"/>
      <w:sz w:val="20"/>
      <w:szCs w:val="20"/>
      <w:lang w:val="en-US" w:eastAsia="en-US" w:bidi="ar-SA"/>
    </w:rPr>
  </w:style>
  <w:style w:styleId="Heading1" w:type="paragraph">
    <w:name w:val="Heading 1"/>
    <w:basedOn w:val="Normal"/>
    <w:uiPriority w:val="1"/>
    <w:qFormat/>
    <w:pPr>
      <w:spacing w:before="29"/>
      <w:ind w:left="119"/>
      <w:outlineLvl w:val="1"/>
    </w:pPr>
    <w:rPr>
      <w:rFonts w:ascii="Arial Black" w:hAnsi="Arial Black" w:eastAsia="Arial Black" w:cs="Arial Black"/>
      <w:sz w:val="28"/>
      <w:szCs w:val="28"/>
      <w:lang w:val="en-US" w:eastAsia="en-US" w:bidi="ar-SA"/>
    </w:rPr>
  </w:style>
  <w:style w:styleId="Heading2" w:type="paragraph">
    <w:name w:val="Heading 2"/>
    <w:basedOn w:val="Normal"/>
    <w:uiPriority w:val="1"/>
    <w:qFormat/>
    <w:pPr>
      <w:spacing w:before="125"/>
      <w:ind w:left="120"/>
      <w:outlineLvl w:val="2"/>
    </w:pPr>
    <w:rPr>
      <w:rFonts w:ascii="Arial Black" w:hAnsi="Arial Black" w:eastAsia="Arial Black" w:cs="Arial Black"/>
      <w:sz w:val="22"/>
      <w:szCs w:val="22"/>
      <w:lang w:val="en-US" w:eastAsia="en-US" w:bidi="ar-SA"/>
    </w:rPr>
  </w:style>
  <w:style w:styleId="Title" w:type="paragraph">
    <w:name w:val="Title"/>
    <w:basedOn w:val="Normal"/>
    <w:uiPriority w:val="1"/>
    <w:qFormat/>
    <w:pPr>
      <w:spacing w:before="289"/>
      <w:ind w:left="119" w:right="38"/>
    </w:pPr>
    <w:rPr>
      <w:rFonts w:ascii="Arial Black" w:hAnsi="Arial Black" w:eastAsia="Arial Black" w:cs="Arial Black"/>
      <w:sz w:val="52"/>
      <w:szCs w:val="52"/>
      <w:lang w:val="en-US" w:eastAsia="en-US" w:bidi="ar-SA"/>
    </w:rPr>
  </w:style>
  <w:style w:styleId="ListParagraph" w:type="paragraph">
    <w:name w:val="List Paragraph"/>
    <w:basedOn w:val="Normal"/>
    <w:uiPriority w:val="1"/>
    <w:qFormat/>
    <w:pPr>
      <w:spacing w:line="224" w:lineRule="exact"/>
      <w:ind w:left="329" w:hanging="194"/>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yperlink" Target="https://www.irs.gov/form1099div" TargetMode="External"/><Relationship Id="rId8" Type="http://schemas.openxmlformats.org/officeDocument/2006/relationships/hyperlink" Target="https://www.irs.gov/InfoReturn" TargetMode="External"/><Relationship Id="rId9" Type="http://schemas.openxmlformats.org/officeDocument/2006/relationships/hyperlink" Target="https://www.irs.gov/pub/irs-pdf/i1099gi.pdf" TargetMode="External"/><Relationship Id="rId10" Type="http://schemas.openxmlformats.org/officeDocument/2006/relationships/hyperlink" Target="https://www.irs.gov/uac/about-form-1099" TargetMode="External"/><Relationship Id="rId11" Type="http://schemas.openxmlformats.org/officeDocument/2006/relationships/hyperlink" Target="https://www.irs.gov/Form1099DIV" TargetMode="External"/><Relationship Id="rId12" Type="http://schemas.openxmlformats.org/officeDocument/2006/relationships/image" Target="media/image1.png"/><Relationship Id="rId13" Type="http://schemas.openxmlformats.org/officeDocument/2006/relationships/hyperlink" Target="https://www.irs.gov/Pub1179" TargetMode="External"/><Relationship Id="rId14" Type="http://schemas.openxmlformats.org/officeDocument/2006/relationships/hyperlink" Target="https://www.irs.gov/irb/2011-37_IRB#NOT-2011-64" TargetMode="External"/><Relationship Id="rId15" Type="http://schemas.openxmlformats.org/officeDocument/2006/relationships/hyperlink" Target="https://www.irs.gov/irb/2003-43_IRB#NOT-2003-71" TargetMode="External"/><Relationship Id="rId16" Type="http://schemas.openxmlformats.org/officeDocument/2006/relationships/hyperlink" Target="https://www.irs.gov/irb/2006-03_IRB#NOT-2006-3" TargetMode="External"/><Relationship Id="rId17" Type="http://schemas.openxmlformats.org/officeDocument/2006/relationships/hyperlink" Target="https://www.irs.gov/irb/2004-44_IRB#NOT-2004-70" TargetMode="External"/><Relationship Id="rId18" Type="http://schemas.openxmlformats.org/officeDocument/2006/relationships/hyperlink" Target="https://www.irs.gov/irb/2004-22_IRB#NOT-2004-39" TargetMode="External"/><Relationship Id="rId19" Type="http://schemas.openxmlformats.org/officeDocument/2006/relationships/hyperlink" Target="https://www.irs.gov/irb/2015-24_IRB#NOT-2015-41" TargetMode="External"/><Relationship Id="rId20" Type="http://schemas.openxmlformats.org/officeDocument/2006/relationships/hyperlink" Target="https://www.irs.gov/irb/2005-21_IRB#RR-2005-31" TargetMode="External"/><Relationship Id="rId21" Type="http://schemas.openxmlformats.org/officeDocument/2006/relationships/footer" Target="footer3.xml"/><Relationship Id="rId22" Type="http://schemas.openxmlformats.org/officeDocument/2006/relationships/footer" Target="footer4.xml"/><Relationship Id="rId23" Type="http://schemas.openxmlformats.org/officeDocument/2006/relationships/hyperlink" Target="https://www.irs.gov/irb/2009-06_IRB#NOT-2009-15" TargetMode="External"/><Relationship Id="rId24" Type="http://schemas.openxmlformats.org/officeDocument/2006/relationships/hyperlink" Target="https://www.irs.gov/irb/2010-15_IRB#NOT-2010-28" TargetMode="External"/><Relationship Id="rId25" Type="http://schemas.openxmlformats.org/officeDocument/2006/relationships/hyperlink" Target="https://www.irs.gov/irb/2003-50_IRB#NOT-2003-79" TargetMode="External"/><Relationship Id="rId26" Type="http://schemas.openxmlformats.org/officeDocument/2006/relationships/hyperlink" Target="https://www.irs.gov/irb/2004-45_IRB#NOT-2004-71"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W:CAR:MP:FP</dc:creator>
  <dc:subject>Instructions for Form 1099-DIV, Dividends and Distributions</dc:subject>
  <dc:title>Instructions for Form 1099-DIV (Rev. January 2024)</dc:title>
  <dcterms:created xsi:type="dcterms:W3CDTF">2025-11-17T19:36:30Z</dcterms:created>
  <dcterms:modified xsi:type="dcterms:W3CDTF">2025-11-17T19:36:30Z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2023-11-08T00:00:00Z</vt:filetime>
  </property>
  <property fmtid="{D5CDD505-2E9C-101B-9397-08002B2CF9AE}" pid="3" name="Creator">
    <vt:lpwstr>AH XSL Formatter V6.6 MR4 for Linux64 : 6.6.6.37929 (2019/03/11 12:35JST)</vt:lpwstr>
  </property>
  <property fmtid="{D5CDD505-2E9C-101B-9397-08002B2CF9AE}" pid="4" name="LastSaved">
    <vt:filetime>2025-11-17T00:00:00Z</vt:filetime>
  </property>
  <property fmtid="{D5CDD505-2E9C-101B-9397-08002B2CF9AE}" pid="5" name="Producer">
    <vt:lpwstr>Antenna House PDF Output Library 6.6.1437 (Linux64); modified using iText 2.1.7 by 1T3XT</vt:lpwstr>
  </property>
</Properties>
</file>