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3a5f"/>
          <w:sz w:val="92"/>
          <w:szCs w:val="92"/>
          <w:rtl w:val="0"/>
        </w:rPr>
        <w:t xml:space="preserve">SAR Automatic Target Recognition Benchmark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333333"/>
          <w:sz w:val="44"/>
          <w:szCs w:val="44"/>
          <w:rtl w:val="0"/>
        </w:rPr>
        <w:t xml:space="preserve">From Handcrafted Features to Vision Transformers on MSTAR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28"/>
          <w:szCs w:val="28"/>
          <w:rtl w:val="0"/>
        </w:rPr>
        <w:t xml:space="preserve">MSTAR SOC 10-class SAR Automatic Target Recognition — Handcrafted + SVM  vs  ResNet18 (CNN)  vs  DeiT-Small (ViT)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Ali Yiğit Başaran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color w:val="555555"/>
          <w:sz w:val="28"/>
          <w:szCs w:val="28"/>
          <w:rtl w:val="0"/>
        </w:rPr>
        <w:t xml:space="preserve">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Problem Statement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Objectives and Claims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Dataset (MSTAR SOC) and Exploratory Data Analysis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Methodology: Experimentation Pipeline, Data Splitting, Preprocessing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Models Investigation— Architectures, Parameters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Benchmark &amp; Evaluation Protocol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Results: Metrics, Plots and Commentary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Discussion, Limitations, Conclusions &amp; Recommendations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Task: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Recognize 10 military vehicle classes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Synthetic Aperture Radar (SAR)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imagery — Automatic Target Recognition (ATR).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SAR ≠ Optical: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Images carry multiplicative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speckle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noise and encode geometry as bright scattering centers, not familiar texture.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Fine-Grained Difficulty: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Several vehicles (wheeled APCs) have nearly identical SAR signatures and vary strongly with aspect angle.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Standard Protocol (SOC – Standard Operating Conditions):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Train on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17°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depression angle, test on a different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15°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angle — a genuine generalization test, not a random split.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72138" cy="3555072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3555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Objectives &amp;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Objective:</w:t>
      </w:r>
      <w:r w:rsidDel="00000000" w:rsidR="00000000" w:rsidRPr="00000000">
        <w:rPr>
          <w:sz w:val="36"/>
          <w:szCs w:val="36"/>
          <w:rtl w:val="0"/>
        </w:rPr>
        <w:t xml:space="preserve"> Benchmark three representative approaches for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SAR target classification</w:t>
      </w:r>
      <w:r w:rsidDel="00000000" w:rsidR="00000000" w:rsidRPr="00000000">
        <w:rPr>
          <w:sz w:val="36"/>
          <w:szCs w:val="36"/>
          <w:rtl w:val="0"/>
        </w:rPr>
        <w:t xml:space="preserve">—Handcrafted + SVM, ResNet18, and DeiT-Small—using a common train/test split and evaluating both classification performance and computational cost.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60" w:lineRule="auto"/>
        <w:ind w:left="108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Claim 1:</w:t>
      </w:r>
      <w:r w:rsidDel="00000000" w:rsidR="00000000" w:rsidRPr="00000000">
        <w:rPr>
          <w:sz w:val="36"/>
          <w:szCs w:val="36"/>
          <w:rtl w:val="0"/>
        </w:rPr>
        <w:t xml:space="preserve"> Learned feature is expected to representation significantly outperform handcrafted descriptors.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60" w:lineRule="auto"/>
        <w:ind w:left="108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Claim 2:</w:t>
      </w:r>
      <w:r w:rsidDel="00000000" w:rsidR="00000000" w:rsidRPr="00000000">
        <w:rPr>
          <w:sz w:val="36"/>
          <w:szCs w:val="36"/>
          <w:rtl w:val="0"/>
        </w:rPr>
        <w:t xml:space="preserve"> Overall performance is expected following the ranking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DeiT-Small &gt; ResNet18 &gt; SVM</w:t>
      </w:r>
      <w:r w:rsidDel="00000000" w:rsidR="00000000" w:rsidRPr="00000000">
        <w:rPr>
          <w:sz w:val="36"/>
          <w:szCs w:val="36"/>
          <w:rtl w:val="0"/>
        </w:rPr>
        <w:t xml:space="preserve"> in both Accuracy and Macro-F1.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60" w:lineRule="auto"/>
        <w:ind w:left="108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Claim 3:</w:t>
      </w:r>
      <w:r w:rsidDel="00000000" w:rsidR="00000000" w:rsidRPr="00000000">
        <w:rPr>
          <w:sz w:val="36"/>
          <w:szCs w:val="36"/>
          <w:rtl w:val="0"/>
        </w:rPr>
        <w:t xml:space="preserve"> The largest improvements are expected to be observed on the most challenging, visually similar vehicle classes.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Dataset — MSTAR SOC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Dataset contains 10 military vehicle classes:</w:t>
      </w:r>
      <w:r w:rsidDel="00000000" w:rsidR="00000000" w:rsidRPr="00000000">
        <w:rPr>
          <w:rtl w:val="0"/>
        </w:rPr>
        <w:t xml:space="preserve"> 2S1, BMP2, BRDM2, BTR60, BTR70, D7, T62, T72, ZIL131, and ZSU234.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Each sample is a single-channel 128×128 SAR image</w:t>
      </w:r>
      <w:r w:rsidDel="00000000" w:rsidR="00000000" w:rsidRPr="00000000">
        <w:rPr>
          <w:rtl w:val="0"/>
        </w:rPr>
        <w:t xml:space="preserve">, with a small bright target on a mostly dark background.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ixel mean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0.0295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std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0.0346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(range 0–255) →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dark frames, small bright target.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2747 train (17° </w:t>
      </w:r>
      <w:r w:rsidDel="00000000" w:rsidR="00000000" w:rsidRPr="00000000">
        <w:rPr>
          <w:b w:val="1"/>
          <w:bCs w:val="1"/>
          <w:rtl w:val="0"/>
        </w:rPr>
        <w:t xml:space="preserve">Depression angle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/ 2425 test (15° </w:t>
      </w:r>
      <w:r w:rsidDel="00000000" w:rsidR="00000000" w:rsidRPr="00000000">
        <w:rPr>
          <w:b w:val="1"/>
          <w:bCs w:val="1"/>
          <w:rtl w:val="0"/>
        </w:rPr>
        <w:t xml:space="preserve">Depression angle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0"/>
        <w:gridCol w:w="2960"/>
        <w:gridCol w:w="2960"/>
        <w:tblGridChange w:id="0">
          <w:tblGrid>
            <w:gridCol w:w="2960"/>
            <w:gridCol w:w="2960"/>
            <w:gridCol w:w="2960"/>
          </w:tblGrid>
        </w:tblGridChange>
      </w:tblGrid>
      <w:tr>
        <w:trPr>
          <w:cantSplit w:val="0"/>
          <w:tblHeader w:val="0"/>
        </w:trPr>
        <w:tc>
          <w:tcPr>
            <w:shd w:fill="40466e" w:val="clea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BMP2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BRDM2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BTR60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BTR70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ZIL131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ZSU234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Dataset — Sample Imagery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57488" cy="4572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Five random chips per class. A bright target blob on a dark, speckled background; strong within-class aspect-angle variation.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EDA — Class Balance (Train 17° vs Test 15°)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8519160" cy="393192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9160" cy="393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Distributions are similar across splits and only mildly imbalanced (232–299 per class) → macro-averaged metrics are the right headline.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EDA — Per-Class Average 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7386638" cy="344651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6638" cy="3446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6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Class-average images reveal characteristic target shapes and size patterns</w:t>
      </w:r>
      <w:r w:rsidDel="00000000" w:rsidR="00000000" w:rsidRPr="00000000">
        <w:rPr>
          <w:rtl w:val="0"/>
        </w:rPr>
        <w:t xml:space="preserve">, such as long-barreled tanks versus more compact APC vehicles.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6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The observed blur is caused by variations in viewing angle within each class</w:t>
      </w:r>
      <w:r w:rsidDel="00000000" w:rsidR="00000000" w:rsidRPr="00000000">
        <w:rPr>
          <w:rtl w:val="0"/>
        </w:rPr>
        <w:t xml:space="preserve">, reflecting the diversity of target appearances (wrt aspect angle).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EDA — Pixel Intensity &amp; Speckle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7208520" cy="393192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393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6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All classes contain a large number of dark-background pixels,</w:t>
      </w:r>
      <w:r w:rsidDel="00000000" w:rsidR="00000000" w:rsidRPr="00000000">
        <w:rPr>
          <w:rtl w:val="0"/>
        </w:rPr>
        <w:t xml:space="preserve"> while differences mainly appear in the </w:t>
      </w:r>
      <w:r w:rsidDel="00000000" w:rsidR="00000000" w:rsidRPr="00000000">
        <w:rPr>
          <w:b w:val="1"/>
          <w:bCs w:val="1"/>
          <w:rtl w:val="0"/>
        </w:rPr>
        <w:t xml:space="preserve">brighter intensity regions.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60" w:lineRule="auto"/>
        <w:ind w:left="360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class-dependent intensity distribution</w:t>
      </w:r>
      <w:r w:rsidDel="00000000" w:rsidR="00000000" w:rsidRPr="00000000">
        <w:rPr>
          <w:rtl w:val="0"/>
        </w:rPr>
        <w:t xml:space="preserve"> motivates the use of </w:t>
      </w:r>
      <w:r w:rsidDel="00000000" w:rsidR="00000000" w:rsidRPr="00000000">
        <w:rPr>
          <w:b w:val="1"/>
          <w:bCs w:val="1"/>
          <w:rtl w:val="0"/>
        </w:rPr>
        <w:t xml:space="preserve">histogram-based features</w:t>
      </w:r>
      <w:r w:rsidDel="00000000" w:rsidR="00000000" w:rsidRPr="00000000">
        <w:rPr>
          <w:rtl w:val="0"/>
        </w:rPr>
        <w:t xml:space="preserve"> to capture discriminative SAR target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EDA — Raw-Pixel Separability (t-SNE)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914900" cy="393192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93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Raw pixels (PCA-50 → t-SNE):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lasses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overlap heavily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with no clean clusters → the central empirical argument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learned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representations.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Experimentation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Shared library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one notebook per experiment; each writes its own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7976.0" w:type="dxa"/>
        <w:jc w:val="center"/>
        <w:tblLayout w:type="fixed"/>
        <w:tblLook w:val="0400"/>
      </w:tblPr>
      <w:tblGrid>
        <w:gridCol w:w="4676"/>
        <w:gridCol w:w="1122"/>
        <w:gridCol w:w="6328"/>
        <w:gridCol w:w="1122"/>
        <w:gridCol w:w="4728"/>
        <w:tblGridChange w:id="0">
          <w:tblGrid>
            <w:gridCol w:w="4676"/>
            <w:gridCol w:w="1122"/>
            <w:gridCol w:w="6328"/>
            <w:gridCol w:w="1122"/>
            <w:gridCol w:w="4728"/>
          </w:tblGrid>
        </w:tblGridChange>
      </w:tblGrid>
      <w:tr>
        <w:trPr>
          <w:cantSplit w:val="0"/>
          <w:tblHeader w:val="0"/>
        </w:trPr>
        <w:tc>
          <w:tcPr>
            <w:shd w:fill="40466e" w:val="clea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01 · EDA</w:t>
            </w: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br w:type="textWrapping"/>
              <w:t xml:space="preserve">stats + plots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40"/>
                <w:szCs w:val="40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6b4f" w:val="clea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02 · SVM   03 · CNN   04 · ViT</w:t>
            </w: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br w:type="textWrapping"/>
              <w:t xml:space="preserve">train + evaluate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40"/>
                <w:szCs w:val="40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3b3b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05 · Comparison</w:t>
            </w: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br w:type="textWrapping"/>
              <w:t xml:space="preserve">plots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6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Notebook 01 </w:t>
      </w:r>
      <w:r w:rsidDel="00000000" w:rsidR="00000000" w:rsidRPr="00000000">
        <w:rPr>
          <w:rtl w:val="0"/>
        </w:rPr>
        <w:t xml:space="preserve">computes </w:t>
      </w:r>
      <w:r w:rsidDel="00000000" w:rsidR="00000000" w:rsidRPr="00000000">
        <w:rPr>
          <w:b w:val="1"/>
          <w:bCs w:val="1"/>
          <w:rtl w:val="0"/>
        </w:rPr>
        <w:t xml:space="preserve">dataset statistics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normalization parameters</w:t>
      </w:r>
      <w:r w:rsidDel="00000000" w:rsidR="00000000" w:rsidRPr="00000000">
        <w:rPr>
          <w:rtl w:val="0"/>
        </w:rPr>
        <w:t xml:space="preserve">, which are reused by the CNN and ViT training pipelines.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6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Each model notebook (SVM, ResNet18, and DeiT-Small) </w:t>
      </w:r>
      <w:r w:rsidDel="00000000" w:rsidR="00000000" w:rsidRPr="00000000">
        <w:rPr>
          <w:rtl w:val="0"/>
        </w:rPr>
        <w:t xml:space="preserve">generates its own </w:t>
      </w:r>
      <w:r w:rsidDel="00000000" w:rsidR="00000000" w:rsidRPr="00000000">
        <w:rPr>
          <w:b w:val="1"/>
          <w:bCs w:val="1"/>
          <w:rtl w:val="0"/>
        </w:rPr>
        <w:t xml:space="preserve">metrics, predictions, and trained model files for later evaluation.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6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Notebook 05</w:t>
      </w:r>
      <w:r w:rsidDel="00000000" w:rsidR="00000000" w:rsidRPr="00000000">
        <w:rPr>
          <w:rtl w:val="0"/>
        </w:rPr>
        <w:t xml:space="preserve"> collects the outputs from all models and produces the f</w:t>
      </w:r>
      <w:r w:rsidDel="00000000" w:rsidR="00000000" w:rsidRPr="00000000">
        <w:rPr>
          <w:b w:val="1"/>
          <w:bCs w:val="1"/>
          <w:rtl w:val="0"/>
        </w:rPr>
        <w:t xml:space="preserve">inal comparisons, tables, and visualizations.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6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All notebooks</w:t>
      </w:r>
      <w:r w:rsidDel="00000000" w:rsidR="00000000" w:rsidRPr="00000000">
        <w:rPr>
          <w:rtl w:val="0"/>
        </w:rPr>
        <w:t xml:space="preserve"> are executed in a fixed order and use</w:t>
      </w:r>
      <w:r w:rsidDel="00000000" w:rsidR="00000000" w:rsidRPr="00000000">
        <w:rPr>
          <w:b w:val="1"/>
          <w:bCs w:val="1"/>
          <w:rtl w:val="0"/>
        </w:rPr>
        <w:t xml:space="preserve"> the same train/test split, evaluation metrics, plotting code, and shared library to ensure a fair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Methodology — Shared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Splitting: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test = fixed 15° set (2425); training folder gets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stratified 85/15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train/val split (seed 42)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2334 / 413 / 2425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Preprocessing: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Grayscale → Resize (128 for CNN, 224 for ViT)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train-only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augmentation → normalize → replicate to 3 channels.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Augmentation: RandomHorizontalFlip, RandomVerticalFlip, RandomRotation(±15°). Eval = resize + normalize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Normalization: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Scalar mean/std computed in EDA.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Reproducibility: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Seeding everything (42). GPU runs ~±1% non-deterministic.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Loss: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Cross-entropy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2746276" cy="286177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276" cy="2861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Model 1 — Handcrafted Features + RBF-SVM</w:t>
      </w:r>
      <w:r w:rsidDel="00000000" w:rsidR="00000000" w:rsidRPr="00000000">
        <w:rPr>
          <w:rtl w:val="0"/>
        </w:rPr>
      </w:r>
    </w:p>
    <w:tbl>
      <w:tblPr>
        <w:tblStyle w:val="Table3"/>
        <w:tblW w:w="15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8640"/>
        <w:gridCol w:w="2016"/>
        <w:tblGridChange w:id="0">
          <w:tblGrid>
            <w:gridCol w:w="5184"/>
            <w:gridCol w:w="8640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40466e" w:val="clea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Intensity histogram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bins over [0,255], density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 orient · 8×8 cell · 2×2 block · L2-Hys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Uniform LBP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P=24, R=3, 26-bin density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feature vector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concatenated, float32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StandardScaler → SVC(kernel=rbf, C=10, gamma=scale, one-vs-rest)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Strong, interpretable classical baseline mixing global intensity, local gradients and micro-texture.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2747 training points become support vectors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no clean margin; 172 MB model; inference is feature-extraction-bound.</w:t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7434263" cy="335181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4263" cy="3351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Model 2 — ResNet18 (CNN)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ImageNet-pretrained ResNet18, FC head → 10 classes,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128×128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3-channel input; 512-d global-average-pool features.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11.18M params (10.50M trainable in Phase 2)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AdamW, weight decay 1e-4, cross-entropy, early-stop patience 7, best-val checkpoint.</w:t>
      </w:r>
    </w:p>
    <w:p w:rsidR="00000000" w:rsidDel="00000000" w:rsidP="00000000" w:rsidRDefault="00000000" w:rsidRPr="00000000" w14:paraId="00000089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77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gridCol w:w="3552"/>
        <w:gridCol w:w="3552"/>
        <w:tblGridChange w:id="0">
          <w:tblGrid>
            <w:gridCol w:w="3552"/>
            <w:gridCol w:w="3552"/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0466e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Trainable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— head warm-up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fc 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1e-3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—fine-tune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hidden layers + fc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1e-4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CosineAnnealing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Frozen ImageNet backbone gives useful low/mid-level filters; unfreezing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deepest blocks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re-specializes high-level features to SAR without destabilizing the rest or overfitting the small dataset.</w:t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9991725" cy="3099172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725" cy="309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Model 3 — DeiT-Small (Vision Transformer)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DeiT-Small (deit_small_patch16_224)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processes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224×224 images as 196 patch tokens plus a CLS token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and produces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384-dimensional feature embeddings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using self-attention.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21.67M parameters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it was fully fine-tuned in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Phase 2 using AdamW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(weight decay = 1e-4) and a batch size of 32.</w:t>
      </w:r>
    </w:p>
    <w:tbl>
      <w:tblPr>
        <w:tblStyle w:val="Table5"/>
        <w:tblpPr w:leftFromText="180" w:rightFromText="180" w:topFromText="0" w:bottomFromText="0" w:vertAnchor="text" w:horzAnchor="text" w:tblpX="0" w:tblpY="82"/>
        <w:tblW w:w="177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gridCol w:w="3552"/>
        <w:gridCol w:w="3552"/>
        <w:tblGridChange w:id="0">
          <w:tblGrid>
            <w:gridCol w:w="3552"/>
            <w:gridCol w:w="3552"/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0466e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Trainable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 — head warm-up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 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1e-3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— Full fine-tune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entire network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5e-5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CosineAnnealing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12042014" cy="3639641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2014" cy="3639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The Main Comparison — Three Paradigms</w:t>
      </w:r>
      <w:r w:rsidDel="00000000" w:rsidR="00000000" w:rsidRPr="00000000">
        <w:rPr>
          <w:rtl w:val="0"/>
        </w:rPr>
      </w:r>
    </w:p>
    <w:tbl>
      <w:tblPr>
        <w:tblStyle w:val="Table6"/>
        <w:tblW w:w="177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0"/>
        <w:gridCol w:w="4440"/>
        <w:gridCol w:w="4440"/>
        <w:gridCol w:w="4440"/>
        <w:tblGridChange w:id="0">
          <w:tblGrid>
            <w:gridCol w:w="4440"/>
            <w:gridCol w:w="4440"/>
            <w:gridCol w:w="4440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40466e" w:val="clea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Handcrafted + 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ResNet18 (CNN)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DeiT-Small (ViT)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Fixed descriptors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Learned conv features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Global self-attention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 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128×128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128×128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224×224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 idea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HOG/LBP/hist + RBF margin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Hierarchical local features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Long-range token 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2,747 SVs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11.18M params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21.67M params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6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Each model represents a different generation of computer vision,</w:t>
      </w:r>
      <w:r w:rsidDel="00000000" w:rsidR="00000000" w:rsidRPr="00000000">
        <w:rPr>
          <w:rtl w:val="0"/>
        </w:rPr>
        <w:t xml:space="preserve"> from handcrafted features to CNNs and Vision Transformers.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6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All models were evaluated using the same dataset, train/test split, metrics, and visualization pipeline, </w:t>
      </w:r>
      <w:r w:rsidDel="00000000" w:rsidR="00000000" w:rsidRPr="00000000">
        <w:rPr>
          <w:rtl w:val="0"/>
        </w:rPr>
        <w:t xml:space="preserve">enabling a fair comparison of both classification performance and computational cost.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Evaluation Protocol &amp;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Test 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Single held-out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2425-image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15° test set.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Quality: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Classification quality was measured using Accuracy, Macro Precision, Macro Recall, Macro F1, per-class metrics, and a 10×10 confusion matrix.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Cost: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Inference latency (batch 1, up to 500 imgs, 10 warm-up, CUDA-synced), on-disk model size, parameter counts.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Explainability: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Feature-space t-SNE visualizations were used to analyze class separability and model representations.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0" distT="0" distL="0" distR="0">
            <wp:extent cx="6688953" cy="2945842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8953" cy="2945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Results — Headline Comparison</w:t>
      </w:r>
      <w:r w:rsidDel="00000000" w:rsidR="00000000" w:rsidRPr="00000000">
        <w:rPr>
          <w:rtl w:val="0"/>
        </w:rPr>
      </w:r>
    </w:p>
    <w:tbl>
      <w:tblPr>
        <w:tblStyle w:val="Table7"/>
        <w:tblW w:w="17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gridCol w:w="4320"/>
        <w:gridCol w:w="4320"/>
        <w:tblGridChange w:id="0">
          <w:tblGrid>
            <w:gridCol w:w="4320"/>
            <w:gridCol w:w="4320"/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40466e" w:val="clea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Handcrafted+SVM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ResNet18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0466e" w:val="clea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DeiT-Small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85.98%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92.49%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95.79%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Macro-F1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84.64%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91.52%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95.03%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Macro-Precision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86.17%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91.64%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95.15%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Macro-Recall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84.46%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91.51%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95.01%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Training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color w:val="6aa84f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96.2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156.1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400.8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Inference (ms/img)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50.03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6.41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 size (MB)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color w:val="6aa84f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42.73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2,747 SVs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11.18M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21.67M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 dim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8,190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Performance improves consistently from SVM to CNN to ViT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85.98% → 92.49% → 95.79%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accuracy). 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CNN offers the best efficiency</w:t>
      </w:r>
      <w:r w:rsidDel="00000000" w:rsidR="00000000" w:rsidRPr="00000000">
        <w:rPr>
          <w:rtl w:val="0"/>
        </w:rPr>
        <w:t xml:space="preserve">, achieving strong accuracy while remaining the smallest and fastest model.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DeiT-Small achieves the best classification performance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95.79% accuracy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95.03% Macro-F1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ViT improves accuracy, but with higher cost</w:t>
      </w:r>
      <w:r w:rsidDel="00000000" w:rsidR="00000000" w:rsidRPr="00000000">
        <w:rPr>
          <w:rtl w:val="0"/>
        </w:rPr>
        <w:t xml:space="preserve">, requiring the longest training time and almost twice the parameters of ResNet18.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SVM has the lowest accuracy and slowest inference</w:t>
      </w:r>
      <w:r w:rsidDel="00000000" w:rsidR="00000000" w:rsidRPr="00000000">
        <w:rPr>
          <w:rtl w:val="0"/>
        </w:rPr>
        <w:t xml:space="preserve">, mainly because handcrafted feature extraction is computationally expensive.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Results — Per-Class F1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7467600" cy="3200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Most challenging classes showed substantial improvement: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BMP2 (0.68 → 0.82 → 0.85), BTR60 (0.70 → 0.79 → 0.87), BTR70 (0.74 → 0.84 → 0.89), T72 (0.81 → 0.90 → 0.96) F1.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Easy classes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(BRDM2, D7, ZIL131, 2S1) achieved consistently high performance across all methods.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SVM tended to over-predict ZSU234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resulting in very high recall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0.99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but relatively low precision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0.73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Results — Confusion Matrices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0" distT="0" distL="0" distR="0">
            <wp:extent cx="12130088" cy="359965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30088" cy="3599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Most errors occur between BMP2, BTR60, and BTR70 in all models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showing that these classes are difficult to separate.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 model performance improves, the number of wrong predictions decreases and becomes more focused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suggesting that the remaining errors come from real visual similarities in SAR images rather than random mistakes.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Results — Training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8458200" cy="338328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338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Phase 1 with a frozen backbone reaches limited performance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(CNN ~50%, ViT ~68% validation accuracy), showing that frozen features are not sufficient for SAR images.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After unfreezing the backbone at Epoch 10, validation accuracy increases by 15–20 points in a single epoch.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Results — Efficiency &amp; Complexity</w:t>
      </w:r>
      <w:r w:rsidDel="00000000" w:rsidR="00000000" w:rsidRPr="00000000">
        <w:rPr>
          <w:rtl w:val="0"/>
        </w:rPr>
      </w:r>
    </w:p>
    <w:tbl>
      <w:tblPr>
        <w:tblStyle w:val="Table8"/>
        <w:tblW w:w="17760.0" w:type="dxa"/>
        <w:jc w:val="center"/>
        <w:tblLayout w:type="fixed"/>
        <w:tblLook w:val="0400"/>
      </w:tblPr>
      <w:tblGrid>
        <w:gridCol w:w="8880"/>
        <w:gridCol w:w="8880"/>
        <w:tblGridChange w:id="0">
          <w:tblGrid>
            <w:gridCol w:w="8880"/>
            <w:gridCol w:w="8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4876800" cy="3657600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520015" cy="3181486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015" cy="31814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CNN provides the best efficiency, requiring only 6.41 ms per image and 43 MB of storage.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SVM is much slower (50 ms per image)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mainly due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HOG/LBP feature extraction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not the classifier itself, and requires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172 MB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of storage.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Explainability — Feature Space (t-SNE)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277600" cy="37592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Feature separation improves from raw pixels to ResNet and then to DeiT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matching the performance ranking of the models.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DeiT produces the most compact and well-separated clusters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while raw pixel features show strong overlap between classes.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Discussion &amp;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Handcrafted features struggle with very similar vehicles,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because small structural differences in SAR images are difficult to capture with fixed features.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CNN improves performance by learning more discriminative features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while also being the smallest and fastest model.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ViT achieves the highest accuracy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especially on the most challenging classes such as BTR60 and T72.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Higher accuracy comes with higher computational cost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as ViT requires more parameters, longer training time, and higher inference latency than CNN.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remaining errors are mainly within the APC vehicle group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indicating that these classes are inherently difficult to distinguish in SAR imagery.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bottom w:color="40466e" w:space="2" w:sz="12" w:val="single"/>
        </w:pBdr>
        <w:rPr/>
      </w:pPr>
      <w:r w:rsidDel="00000000" w:rsidR="00000000" w:rsidRPr="00000000">
        <w:rPr>
          <w:b w:val="1"/>
          <w:bCs w:val="1"/>
          <w:color w:val="1f3a5f"/>
          <w:sz w:val="60"/>
          <w:szCs w:val="60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Learned feature representations clearly outperform handcrafted descriptors for SAR target classification.</w:t>
      </w:r>
      <w:r w:rsidDel="00000000" w:rsidR="00000000" w:rsidRPr="00000000">
        <w:rPr>
          <w:rtl w:val="0"/>
        </w:rPr>
        <w:t xml:space="preserve"> Both deep learning models achieved substantial improvements over the HOG/LBP + SVM baseline in Accuracy, Macro-F1, and per-class performance.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The fully fine-tuned DeiT-Small delivered the best overall results</w:t>
      </w:r>
      <w:r w:rsidDel="00000000" w:rsidR="00000000" w:rsidRPr="00000000">
        <w:rPr>
          <w:rtl w:val="0"/>
        </w:rPr>
        <w:t xml:space="preserve">, reaching </w:t>
      </w:r>
      <w:r w:rsidDel="00000000" w:rsidR="00000000" w:rsidRPr="00000000">
        <w:rPr>
          <w:b w:val="1"/>
          <w:bCs w:val="1"/>
          <w:rtl w:val="0"/>
        </w:rPr>
        <w:t xml:space="preserve">95.8% Accuracy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95.0% Macro-F1</w:t>
      </w:r>
      <w:r w:rsidDel="00000000" w:rsidR="00000000" w:rsidRPr="00000000">
        <w:rPr>
          <w:rtl w:val="0"/>
        </w:rPr>
        <w:t xml:space="preserve">, while showing the strongest performance on the most challenging lookalike vehicle classes.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ResNet18 provided the best efficiency–performance trade-off</w:t>
      </w:r>
      <w:r w:rsidDel="00000000" w:rsidR="00000000" w:rsidRPr="00000000">
        <w:rPr>
          <w:rtl w:val="0"/>
        </w:rPr>
        <w:t xml:space="preserve">, achieving competitive accuracy with the smallest model size and fastest inference speed.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Most remaining errors were concentrated within the BMP2–BTR60–BTR70 APC cluster</w:t>
      </w:r>
      <w:r w:rsidDel="00000000" w:rsidR="00000000" w:rsidRPr="00000000">
        <w:rPr>
          <w:rtl w:val="0"/>
        </w:rPr>
        <w:t xml:space="preserve">, suggesting that the primary challenge is intrinsic visual similarity rather than insufficient model capacity.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Recommendation: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Choose ViT when maximum accuracy is the priority. Choose ResNet18 for a better balance of accuracy, model size, and inference speed (92.5% accuracy, 43 MB, 6.4 ms/image). The SVM was outperformed by both deep learning models in accuracy and efficiency.</w:t>
      </w:r>
    </w:p>
    <w:sectPr>
      <w:footerReference r:id="rId24" w:type="default"/>
      <w:pgSz w:h="10800" w:w="19200" w:orient="landscape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55555"/>
        <w:sz w:val="18"/>
        <w:szCs w:val="18"/>
        <w:u w:val="none"/>
        <w:shd w:fill="auto" w:val="clear"/>
        <w:vertAlign w:val="baseline"/>
        <w:rtl w:val="0"/>
      </w:rPr>
      <w:t xml:space="preserve">SAR-ATR Benchmark · MSTAR SOC 10-class ·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32"/>
        <w:szCs w:val="3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5.png"/><Relationship Id="rId22" Type="http://schemas.openxmlformats.org/officeDocument/2006/relationships/image" Target="media/image6.png"/><Relationship Id="rId10" Type="http://schemas.openxmlformats.org/officeDocument/2006/relationships/image" Target="media/image16.png"/><Relationship Id="rId21" Type="http://schemas.openxmlformats.org/officeDocument/2006/relationships/image" Target="media/image10.png"/><Relationship Id="rId13" Type="http://schemas.openxmlformats.org/officeDocument/2006/relationships/image" Target="media/image1.png"/><Relationship Id="rId24" Type="http://schemas.openxmlformats.org/officeDocument/2006/relationships/footer" Target="footer1.xml"/><Relationship Id="rId12" Type="http://schemas.openxmlformats.org/officeDocument/2006/relationships/image" Target="media/image4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4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oqiueNFdqRH5tLjj0dwDkscJVA==">CgMxLjA4AHIhMXVmT2Q2VFNDaWlPQVpPNHRHamNiU1BXLTdSc25HZGRw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