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VeritasCarbon: Appendix Materials</w:t>
      </w:r>
    </w:p>
    <w:p>
      <w:pPr>
        <w:jc w:val="center"/>
      </w:pPr>
      <w:r>
        <w:rPr>
          <w:i/>
          <w:color w:val="666666"/>
          <w:sz w:val="24"/>
        </w:rPr>
        <w:t>Supplementary Documentation for VLDB 2027 Submission</w:t>
      </w:r>
    </w:p>
    <w:p/>
    <w:p>
      <w:pPr>
        <w:pStyle w:val="Heading1"/>
        <w:jc w:val="left"/>
      </w:pPr>
      <w:r>
        <w:t>Dataset as a Core Contribution</w:t>
      </w:r>
    </w:p>
    <w:p>
      <w:pPr>
        <w:spacing w:after="160"/>
      </w:pPr>
      <w:r>
        <w:t xml:space="preserve">In addition to the CoDE multi-agent framework, this paper makes a substantial dataset contribution by releasing </w:t>
      </w:r>
      <w:r>
        <w:rPr>
          <w:b/>
        </w:rPr>
        <w:t>VeritasCarbon-ESG-35K</w:t>
      </w:r>
      <w:r>
        <w:t>, the largest publicly available traceable ESG instruction dataset to date. The dataset contains 35,009 high-quality instruction–response pairs generated from 17,721 real-world ESG disclosure documents spanning four corpus layers (domain textbooks, CSR reports, regulatory guidelines, and industry analyses). Every pair is fully traceable to its source document chunk and includes rich generation metadata (quality score, selected experts, collaboration mode, knowledge injection count), enabling fine-grained analysis of data provenance and quality.</w:t>
      </w:r>
    </w:p>
    <w:p>
      <w:pPr>
        <w:spacing w:after="160"/>
      </w:pPr>
      <w:r>
        <w:t xml:space="preserve">Unlike existing ESG corpora that are limited to classification labels or short extracts, VeritasCarbon-ESG-35K provides </w:t>
      </w:r>
      <w:r>
        <w:rPr>
          <w:i/>
        </w:rPr>
        <w:t>task-oriented instructions</w:t>
      </w:r>
      <w:r>
        <w:t xml:space="preserve"> with diverse types (Q&amp;A, summarization, extraction, classification, analysis, temporal analysis, benchmark comparison, greenwashing detection, standard alignment, knowledge graph construction, and consistency verification). This makes it directly usable for instruction tuning of large language models in the ESG and sustainable-finance domains.</w:t>
      </w:r>
    </w:p>
    <w:p>
      <w:r>
        <w:t>The dataset is released under a tiered strategy to balance accessibility and copyright constraints:</w:t>
      </w:r>
    </w:p>
    <w:p>
      <w:pPr>
        <w:pStyle w:val="ListBullet"/>
        <w:spacing w:after="60"/>
      </w:pPr>
      <w:r>
        <w:rPr>
          <w:sz w:val="20"/>
        </w:rPr>
        <w:t>A representative 2,000-pair sample is included in the GitHub repository for immediate inspection and replication of the main evaluation (Table 2);</w:t>
      </w:r>
    </w:p>
    <w:p>
      <w:pPr>
        <w:pStyle w:val="ListBullet"/>
        <w:spacing w:after="60"/>
      </w:pPr>
      <w:r>
        <w:rPr>
          <w:sz w:val="20"/>
        </w:rPr>
        <w:t>The full 35,009-pair dataset is hosted on Hugging Face Datasets (https://huggingface.co/datasets/Yihan-JIANG/VeritasCarbon-ESG-35K) under CC BY-SA 4.0;</w:t>
      </w:r>
    </w:p>
    <w:p>
      <w:pPr>
        <w:pStyle w:val="ListBullet"/>
        <w:spacing w:after="60"/>
      </w:pPr>
      <w:r>
        <w:rPr>
          <w:sz w:val="20"/>
        </w:rPr>
        <w:t>Complete provenance metadata for all 17,721 source documents is provided in the repository, and the full dataset can be reproduced from source using the provided notebooks.</w:t>
      </w:r>
    </w:p>
    <w:p>
      <w:r>
        <w:br w:type="page"/>
      </w:r>
    </w:p>
    <w:p>
      <w:pPr>
        <w:pStyle w:val="Heading1"/>
        <w:jc w:val="left"/>
      </w:pPr>
      <w:r>
        <w:t>A.1 Data and Code Availability</w:t>
      </w:r>
    </w:p>
    <w:p>
      <w:r>
        <w:rPr>
          <w:b/>
        </w:rPr>
        <w:t xml:space="preserve">Code. </w:t>
      </w:r>
      <w:r>
        <w:t>The complete VeritasCarbon framework, evaluation scripts, and reproducibility instructions are available at https://github.com/YihanJIANG-lab/VeritasCarbon-VLDB2027 under the MIT License.</w:t>
      </w:r>
    </w:p>
    <w:p>
      <w:r>
        <w:rPr>
          <w:b/>
        </w:rPr>
        <w:t xml:space="preserve">Sample Data. </w:t>
      </w:r>
      <w:r>
        <w:t>A representative 2,000-pair sample (veritascarbon_sample_2000.jsonl, 8.7 MB) is included in the GitHub repository. It is drawn with random.seed(42) from the full 35,009-pair pool and matches the evaluation protocol used in Table 2.</w:t>
      </w:r>
    </w:p>
    <w:p>
      <w:r>
        <w:rPr>
          <w:b/>
        </w:rPr>
        <w:t xml:space="preserve">Full Dataset. </w:t>
      </w:r>
      <w:r>
        <w:t>The complete VeritasCarbon-ESG-35K dataset (35,009 instruction–response pairs, ~153 MB) is hosted on Hugging Face Datasets:</w:t>
      </w:r>
    </w:p>
    <w:p>
      <w:pPr>
        <w:jc w:val="center"/>
      </w:pPr>
      <w:r>
        <w:rPr>
          <w:color w:val="0000FF"/>
          <w:u w:val="single"/>
        </w:rPr>
        <w:t>https://huggingface.co/datasets/Yihan-JIANG/VeritasCarbon-ESG-35K</w:t>
      </w:r>
    </w:p>
    <w:p>
      <w:r>
        <w:t>It can be loaded in one line:</w:t>
      </w:r>
    </w:p>
    <w:p>
      <w:pPr>
        <w:spacing w:after="0" w:before="0"/>
        <w:ind w:left="288"/>
      </w:pPr>
      <w:r>
        <w:rPr>
          <w:rFonts w:ascii="Courier New" w:hAnsi="Courier New"/>
          <w:color w:val="333333"/>
          <w:sz w:val="18"/>
          <w:highlight w:val="yellow"/>
        </w:rPr>
        <w:t>from datasets import load_dataset</w:t>
      </w:r>
    </w:p>
    <w:p>
      <w:pPr>
        <w:spacing w:after="0" w:before="0"/>
        <w:ind w:left="288"/>
      </w:pPr>
      <w:r>
        <w:rPr>
          <w:rFonts w:ascii="Courier New" w:hAnsi="Courier New"/>
          <w:color w:val="333333"/>
          <w:sz w:val="18"/>
          <w:highlight w:val="yellow"/>
        </w:rPr>
        <w:t>ds = load_dataset("Yihan-JIANG/VeritasCarbon-ESG-35K", split="train")</w:t>
      </w:r>
    </w:p>
    <w:p/>
    <w:p>
      <w:r>
        <w:rPr>
          <w:b/>
        </w:rPr>
        <w:t xml:space="preserve">Raw Corpus. </w:t>
      </w:r>
      <w:r>
        <w:t>The source ESG documents (~2.7 GB, 17,721 files) contain copyrighted material and cannot be redistributed in full. Complete provenance metadata (document IDs, titles, source URLs, and chunk-to-document mappings) is provided in data/raw_corpus/CORPUS_MANIFEST.md.</w:t>
      </w:r>
    </w:p>
    <w:p>
      <w:r>
        <w:br w:type="page"/>
      </w:r>
    </w:p>
    <w:p>
      <w:pPr>
        <w:pStyle w:val="Heading1"/>
        <w:jc w:val="left"/>
      </w:pPr>
      <w:r>
        <w:t>A.2 Reproducibility Checklist</w:t>
      </w:r>
    </w:p>
    <w:p>
      <w:r>
        <w:t>Table 1 provides a 30-minute verification checklist for reviewers. All commands run on CPU; no GPU is required for verification.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E7E6E6"/>
          </w:tcPr>
          <w:p>
            <w:r>
              <w:rPr>
                <w:b/>
                <w:sz w:val="18"/>
              </w:rPr>
              <w:t>Claim</w:t>
            </w:r>
          </w:p>
        </w:tc>
        <w:tc>
          <w:tcPr>
            <w:tcW w:type="dxa" w:w="2160"/>
            <w:shd w:fill="E7E6E6"/>
          </w:tcPr>
          <w:p>
            <w:r>
              <w:rPr>
                <w:b/>
                <w:sz w:val="18"/>
              </w:rPr>
              <w:t>Verification Command</w:t>
            </w:r>
          </w:p>
        </w:tc>
        <w:tc>
          <w:tcPr>
            <w:tcW w:type="dxa" w:w="2160"/>
            <w:shd w:fill="E7E6E6"/>
          </w:tcPr>
          <w:p>
            <w:r>
              <w:rPr>
                <w:b/>
                <w:sz w:val="18"/>
              </w:rPr>
              <w:t>Expected Output</w:t>
            </w:r>
          </w:p>
        </w:tc>
        <w:tc>
          <w:tcPr>
            <w:tcW w:type="dxa" w:w="2160"/>
            <w:shd w:fill="E7E6E6"/>
          </w:tcPr>
          <w:p>
            <w:r>
              <w:rPr>
                <w:b/>
                <w:sz w:val="18"/>
              </w:rPr>
              <w:t>Time</w:t>
            </w:r>
          </w:p>
        </w:tc>
      </w:tr>
      <w:tr>
        <w:tc>
          <w:tcPr>
            <w:tcW w:type="dxa" w:w="2160"/>
          </w:tcPr>
          <w:p>
            <w:r>
              <w:rPr>
                <w:sz w:val="18"/>
              </w:rPr>
              <w:t>Table 2: CoDE ROUGE-L</w:t>
            </w:r>
          </w:p>
        </w:tc>
        <w:tc>
          <w:tcPr>
            <w:tcW w:type="dxa" w:w="2160"/>
          </w:tcPr>
          <w:p>
            <w:r>
              <w:rPr>
                <w:sz w:val="18"/>
              </w:rPr>
              <w:t>cat results/outputs/intrinsic_comparison.json</w:t>
            </w:r>
          </w:p>
        </w:tc>
        <w:tc>
          <w:tcPr>
            <w:tcW w:type="dxa" w:w="2160"/>
          </w:tcPr>
          <w:p>
            <w:r>
              <w:rPr>
                <w:sz w:val="18"/>
              </w:rPr>
              <w:t>0.3380</w:t>
            </w:r>
          </w:p>
        </w:tc>
        <w:tc>
          <w:tcPr>
            <w:tcW w:type="dxa" w:w="2160"/>
          </w:tcPr>
          <w:p>
            <w:r>
              <w:rPr>
                <w:sz w:val="18"/>
              </w:rPr>
              <w:t>30 s</w:t>
            </w:r>
          </w:p>
        </w:tc>
      </w:tr>
      <w:tr>
        <w:tc>
          <w:tcPr>
            <w:tcW w:type="dxa" w:w="2160"/>
          </w:tcPr>
          <w:p>
            <w:r>
              <w:rPr>
                <w:sz w:val="18"/>
              </w:rPr>
              <w:t>Table 2: CoDE BLEU-4</w:t>
            </w:r>
          </w:p>
        </w:tc>
        <w:tc>
          <w:tcPr>
            <w:tcW w:type="dxa" w:w="2160"/>
          </w:tcPr>
          <w:p>
            <w:r>
              <w:rPr>
                <w:sz w:val="18"/>
              </w:rPr>
              <w:t>same file</w:t>
            </w:r>
          </w:p>
        </w:tc>
        <w:tc>
          <w:tcPr>
            <w:tcW w:type="dxa" w:w="2160"/>
          </w:tcPr>
          <w:p>
            <w:r>
              <w:rPr>
                <w:sz w:val="18"/>
              </w:rPr>
              <w:t>0.1932</w:t>
            </w:r>
          </w:p>
        </w:tc>
        <w:tc>
          <w:tcPr>
            <w:tcW w:type="dxa" w:w="2160"/>
          </w:tcPr>
          <w:p>
            <w:r>
              <w:rPr>
                <w:sz w:val="18"/>
              </w:rPr>
              <w:t>---</w:t>
            </w:r>
          </w:p>
        </w:tc>
      </w:tr>
      <w:tr>
        <w:tc>
          <w:tcPr>
            <w:tcW w:type="dxa" w:w="2160"/>
          </w:tcPr>
          <w:p>
            <w:r>
              <w:rPr>
                <w:sz w:val="18"/>
              </w:rPr>
              <w:t>Table 2: Domain Rel.</w:t>
            </w:r>
          </w:p>
        </w:tc>
        <w:tc>
          <w:tcPr>
            <w:tcW w:type="dxa" w:w="2160"/>
          </w:tcPr>
          <w:p>
            <w:r>
              <w:rPr>
                <w:sz w:val="18"/>
              </w:rPr>
              <w:t>same file</w:t>
            </w:r>
          </w:p>
        </w:tc>
        <w:tc>
          <w:tcPr>
            <w:tcW w:type="dxa" w:w="2160"/>
          </w:tcPr>
          <w:p>
            <w:r>
              <w:rPr>
                <w:sz w:val="18"/>
              </w:rPr>
              <w:t>0.3637</w:t>
            </w:r>
          </w:p>
        </w:tc>
        <w:tc>
          <w:tcPr>
            <w:tcW w:type="dxa" w:w="2160"/>
          </w:tcPr>
          <w:p>
            <w:r>
              <w:rPr>
                <w:sz w:val="18"/>
              </w:rPr>
              <w:t>---</w:t>
            </w:r>
          </w:p>
        </w:tc>
      </w:tr>
      <w:tr>
        <w:tc>
          <w:tcPr>
            <w:tcW w:type="dxa" w:w="2160"/>
          </w:tcPr>
          <w:p>
            <w:r>
              <w:rPr>
                <w:sz w:val="18"/>
              </w:rPr>
              <w:t>Table 2: FactCheck</w:t>
            </w:r>
          </w:p>
        </w:tc>
        <w:tc>
          <w:tcPr>
            <w:tcW w:type="dxa" w:w="2160"/>
          </w:tcPr>
          <w:p>
            <w:r>
              <w:rPr>
                <w:sz w:val="18"/>
              </w:rPr>
              <w:t>same file</w:t>
            </w:r>
          </w:p>
        </w:tc>
        <w:tc>
          <w:tcPr>
            <w:tcW w:type="dxa" w:w="2160"/>
          </w:tcPr>
          <w:p>
            <w:r>
              <w:rPr>
                <w:sz w:val="18"/>
              </w:rPr>
              <w:t>0.9478</w:t>
            </w:r>
          </w:p>
        </w:tc>
        <w:tc>
          <w:tcPr>
            <w:tcW w:type="dxa" w:w="2160"/>
          </w:tcPr>
          <w:p>
            <w:r>
              <w:rPr>
                <w:sz w:val="18"/>
              </w:rPr>
              <w:t>---</w:t>
            </w:r>
          </w:p>
        </w:tc>
      </w:tr>
      <w:tr>
        <w:tc>
          <w:tcPr>
            <w:tcW w:type="dxa" w:w="2160"/>
          </w:tcPr>
          <w:p>
            <w:r>
              <w:rPr>
                <w:sz w:val="18"/>
              </w:rPr>
              <w:t>Table 3: Ablation</w:t>
            </w:r>
          </w:p>
        </w:tc>
        <w:tc>
          <w:tcPr>
            <w:tcW w:type="dxa" w:w="2160"/>
          </w:tcPr>
          <w:p>
            <w:r>
              <w:rPr>
                <w:sz w:val="18"/>
              </w:rPr>
              <w:t>cat results/figures_and_tables/table3_ablation.tex</w:t>
            </w:r>
          </w:p>
        </w:tc>
        <w:tc>
          <w:tcPr>
            <w:tcW w:type="dxa" w:w="2160"/>
          </w:tcPr>
          <w:p>
            <w:r>
              <w:rPr>
                <w:sz w:val="18"/>
              </w:rPr>
              <w:t>all 12 values</w:t>
            </w:r>
          </w:p>
        </w:tc>
        <w:tc>
          <w:tcPr>
            <w:tcW w:type="dxa" w:w="2160"/>
          </w:tcPr>
          <w:p>
            <w:r>
              <w:rPr>
                <w:sz w:val="18"/>
              </w:rPr>
              <w:t>30 s</w:t>
            </w:r>
          </w:p>
        </w:tc>
      </w:tr>
      <w:tr>
        <w:tc>
          <w:tcPr>
            <w:tcW w:type="dxa" w:w="2160"/>
          </w:tcPr>
          <w:p>
            <w:r>
              <w:rPr>
                <w:sz w:val="18"/>
              </w:rPr>
              <w:t>Fig 5: Quality dist.</w:t>
            </w:r>
          </w:p>
        </w:tc>
        <w:tc>
          <w:tcPr>
            <w:tcW w:type="dxa" w:w="2160"/>
          </w:tcPr>
          <w:p>
            <w:r>
              <w:rPr>
                <w:sz w:val="18"/>
              </w:rPr>
              <w:t>python scripts/generate_paper_results.py --figures</w:t>
            </w:r>
          </w:p>
        </w:tc>
        <w:tc>
          <w:tcPr>
            <w:tcW w:type="dxa" w:w="2160"/>
          </w:tcPr>
          <w:p>
            <w:r>
              <w:rPr>
                <w:sz w:val="18"/>
              </w:rPr>
              <w:t>PDF/PNG files</w:t>
            </w:r>
          </w:p>
        </w:tc>
        <w:tc>
          <w:tcPr>
            <w:tcW w:type="dxa" w:w="2160"/>
          </w:tcPr>
          <w:p>
            <w:r>
              <w:rPr>
                <w:sz w:val="18"/>
              </w:rPr>
              <w:t>2 min</w:t>
            </w:r>
          </w:p>
        </w:tc>
      </w:tr>
      <w:tr>
        <w:tc>
          <w:tcPr>
            <w:tcW w:type="dxa" w:w="2160"/>
          </w:tcPr>
          <w:p>
            <w:r>
              <w:rPr>
                <w:sz w:val="18"/>
              </w:rPr>
              <w:t>Dataset size: 35,009</w:t>
            </w:r>
          </w:p>
        </w:tc>
        <w:tc>
          <w:tcPr>
            <w:tcW w:type="dxa" w:w="2160"/>
          </w:tcPr>
          <w:p>
            <w:r>
              <w:rPr>
                <w:sz w:val="18"/>
              </w:rPr>
              <w:t>cat results/figures_and_tables/table2_qa_statistics.json</w:t>
            </w:r>
          </w:p>
        </w:tc>
        <w:tc>
          <w:tcPr>
            <w:tcW w:type="dxa" w:w="2160"/>
          </w:tcPr>
          <w:p>
            <w:r>
              <w:rPr>
                <w:sz w:val="18"/>
              </w:rPr>
              <w:t>35009</w:t>
            </w:r>
          </w:p>
        </w:tc>
        <w:tc>
          <w:tcPr>
            <w:tcW w:type="dxa" w:w="2160"/>
          </w:tcPr>
          <w:p>
            <w:r>
              <w:rPr>
                <w:sz w:val="18"/>
              </w:rPr>
              <w:t>10 s</w:t>
            </w:r>
          </w:p>
        </w:tc>
      </w:tr>
      <w:tr>
        <w:tc>
          <w:tcPr>
            <w:tcW w:type="dxa" w:w="2160"/>
          </w:tcPr>
          <w:p>
            <w:r>
              <w:rPr>
                <w:sz w:val="18"/>
              </w:rPr>
              <w:t>Provenance: traceable</w:t>
            </w:r>
          </w:p>
        </w:tc>
        <w:tc>
          <w:tcPr>
            <w:tcW w:type="dxa" w:w="2160"/>
          </w:tcPr>
          <w:p>
            <w:r>
              <w:rPr>
                <w:sz w:val="18"/>
              </w:rPr>
              <w:t>Inspect any record in data/sample/*.jsonl</w:t>
            </w:r>
          </w:p>
        </w:tc>
        <w:tc>
          <w:tcPr>
            <w:tcW w:type="dxa" w:w="2160"/>
          </w:tcPr>
          <w:p>
            <w:r>
              <w:rPr>
                <w:sz w:val="18"/>
              </w:rPr>
              <w:t>source_chunk_id present</w:t>
            </w:r>
          </w:p>
        </w:tc>
        <w:tc>
          <w:tcPr>
            <w:tcW w:type="dxa" w:w="2160"/>
          </w:tcPr>
          <w:p>
            <w:r>
              <w:rPr>
                <w:sz w:val="18"/>
              </w:rPr>
              <w:t>1 min</w:t>
            </w:r>
          </w:p>
        </w:tc>
      </w:tr>
      <w:tr>
        <w:tc>
          <w:tcPr>
            <w:tcW w:type="dxa" w:w="2160"/>
          </w:tcPr>
          <w:p>
            <w:r>
              <w:rPr>
                <w:sz w:val="18"/>
              </w:rPr>
              <w:t>Evaluation pipeline</w:t>
            </w:r>
          </w:p>
        </w:tc>
        <w:tc>
          <w:tcPr>
            <w:tcW w:type="dxa" w:w="2160"/>
          </w:tcPr>
          <w:p>
            <w:r>
              <w:rPr>
                <w:sz w:val="18"/>
              </w:rPr>
              <w:t>Run intrinsic_evaluation_03_03.py on sample</w:t>
            </w:r>
          </w:p>
        </w:tc>
        <w:tc>
          <w:tcPr>
            <w:tcW w:type="dxa" w:w="2160"/>
          </w:tcPr>
          <w:p>
            <w:r>
              <w:rPr>
                <w:sz w:val="18"/>
              </w:rPr>
              <w:t>metrics JSON</w:t>
            </w:r>
          </w:p>
        </w:tc>
        <w:tc>
          <w:tcPr>
            <w:tcW w:type="dxa" w:w="2160"/>
          </w:tcPr>
          <w:p>
            <w:r>
              <w:rPr>
                <w:sz w:val="18"/>
              </w:rPr>
              <w:t>10 min</w:t>
            </w:r>
          </w:p>
        </w:tc>
      </w:tr>
    </w:tbl>
    <w:p/>
    <w:p>
      <w:r>
        <w:rPr>
          <w:b/>
        </w:rPr>
        <w:t xml:space="preserve">Notes. </w:t>
      </w:r>
    </w:p>
    <w:p>
      <w:pPr>
        <w:pStyle w:val="ListBullet"/>
        <w:spacing w:after="60"/>
      </w:pPr>
      <w:r>
        <w:rPr>
          <w:sz w:val="20"/>
        </w:rPr>
        <w:t>Tracks A–B (rows 1–8) require only the GitHub repository (~10 MB download).</w:t>
      </w:r>
    </w:p>
    <w:p>
      <w:pPr>
        <w:pStyle w:val="ListBullet"/>
        <w:spacing w:after="60"/>
      </w:pPr>
      <w:r>
        <w:rPr>
          <w:sz w:val="20"/>
        </w:rPr>
        <w:t>Track C (full regeneration) requires the raw corpus (~2.7 GB) and an A100 GPU; see REPRODUCIBILITY.md for details.</w:t>
      </w:r>
    </w:p>
    <w:p>
      <w:pPr>
        <w:pStyle w:val="ListBullet"/>
        <w:spacing w:after="60"/>
      </w:pPr>
      <w:r>
        <w:rPr>
          <w:sz w:val="20"/>
        </w:rPr>
        <w:t>All random sampling uses random.seed(42).</w:t>
      </w:r>
    </w:p>
    <w:p>
      <w:r>
        <w:br w:type="page"/>
      </w:r>
    </w:p>
    <w:p>
      <w:pPr>
        <w:pStyle w:val="Heading1"/>
        <w:jc w:val="left"/>
      </w:pPr>
      <w:r>
        <w:t>A.3 Prompt Templates</w:t>
      </w:r>
    </w:p>
    <w:p>
      <w:r>
        <w:t>The CoDE framework employs 11 specialized expert agents plus a MetaExpert orchestrator. Each expert receives a system prompt that defines its persona, task, and output format. All prompts support two modes:</w:t>
      </w:r>
    </w:p>
    <w:p>
      <w:pPr>
        <w:pStyle w:val="ListNumber"/>
        <w:spacing w:after="60"/>
      </w:pPr>
      <w:r>
        <w:rPr>
          <w:sz w:val="20"/>
        </w:rPr>
        <w:t>Default mode: The expert generates a task directly from the text chunk.</w:t>
      </w:r>
    </w:p>
    <w:p>
      <w:pPr>
        <w:pStyle w:val="ListNumber"/>
        <w:spacing w:after="60"/>
      </w:pPr>
      <w:r>
        <w:rPr>
          <w:sz w:val="20"/>
        </w:rPr>
        <w:t>Dynamic mode: The expert receives an additional work instruction from the MetaExpert and must align its output to that instruction.</w:t>
      </w:r>
    </w:p>
    <w:p>
      <w:r>
        <w:t>The dynamic mode simply prepends "Work instruction: {dynamic_instruction}" to the requirements block; the remainder of the prompt is identical. Below we present the default-mode prompts for representative experts, followed by a summary table for all 11 experts, and finally the MetaExpert orchestration prompt.</w:t>
      </w:r>
    </w:p>
    <w:p>
      <w:pPr>
        <w:pStyle w:val="Heading2"/>
        <w:jc w:val="left"/>
      </w:pPr>
      <w:r>
        <w:t>A.3.1 Q&amp;A Expert</w:t>
      </w:r>
    </w:p>
    <w:p>
      <w:pPr>
        <w:spacing w:after="0" w:before="0"/>
        <w:ind w:left="288"/>
      </w:pPr>
      <w:r>
        <w:rPr>
          <w:rFonts w:ascii="Courier New" w:hAnsi="Courier New"/>
          <w:color w:val="333333"/>
          <w:sz w:val="18"/>
          <w:highlight w:val="yellow"/>
        </w:rPr>
        <w:t>You are a senior ESG (environment, social, governance) Q&amp;A generation expert.</w:t>
      </w:r>
    </w:p>
    <w:p>
      <w:pPr>
        <w:spacing w:after="0" w:before="0"/>
        <w:ind w:left="288"/>
      </w:pPr>
      <w:r>
        <w:rPr>
          <w:rFonts w:ascii="Courier New" w:hAnsi="Courier New"/>
          <w:color w:val="333333"/>
          <w:sz w:val="18"/>
          <w:highlight w:val="yellow"/>
        </w:rPr>
        <w:t>Task: Generate one high-quality Q&amp;A pair from the given text.</w:t>
      </w:r>
    </w:p>
    <w:p>
      <w:pPr>
        <w:spacing w:after="0" w:before="0"/>
        <w:ind w:left="288"/>
      </w:pPr>
      <w:r>
        <w:rPr>
          <w:rFonts w:ascii="Courier New" w:hAnsi="Courier New"/>
          <w:color w:val="333333"/>
          <w:sz w:val="18"/>
          <w:highlight w:val="yellow"/>
        </w:rPr>
        <w:t>Requirements:</w:t>
      </w:r>
    </w:p>
    <w:p>
      <w:pPr>
        <w:spacing w:after="0" w:before="0"/>
        <w:ind w:left="288"/>
      </w:pPr>
      <w:r>
        <w:rPr>
          <w:rFonts w:ascii="Courier New" w:hAnsi="Courier New"/>
          <w:color w:val="333333"/>
          <w:sz w:val="18"/>
          <w:highlight w:val="yellow"/>
        </w:rPr>
        <w:t>1. The question should be highly relevant to the text.</w:t>
      </w:r>
    </w:p>
    <w:p>
      <w:pPr>
        <w:spacing w:after="0" w:before="0"/>
        <w:ind w:left="288"/>
      </w:pPr>
      <w:r>
        <w:rPr>
          <w:rFonts w:ascii="Courier New" w:hAnsi="Courier New"/>
          <w:color w:val="333333"/>
          <w:sz w:val="18"/>
          <w:highlight w:val="yellow"/>
        </w:rPr>
        <w:t>2. The answer must be findable in the text or reasonably inferred.</w:t>
      </w:r>
    </w:p>
    <w:p>
      <w:pPr>
        <w:spacing w:after="0" w:before="0"/>
        <w:ind w:left="288"/>
      </w:pPr>
      <w:r>
        <w:rPr>
          <w:rFonts w:ascii="Courier New" w:hAnsi="Courier New"/>
          <w:color w:val="333333"/>
          <w:sz w:val="18"/>
          <w:highlight w:val="yellow"/>
        </w:rPr>
        <w:t>3. The question should cover an ESG dimension (environment/social/governance)</w:t>
      </w:r>
    </w:p>
    <w:p>
      <w:pPr>
        <w:spacing w:after="0" w:before="0"/>
        <w:ind w:left="288"/>
      </w:pPr>
      <w:r>
        <w:rPr>
          <w:rFonts w:ascii="Courier New" w:hAnsi="Courier New"/>
          <w:color w:val="333333"/>
          <w:sz w:val="18"/>
          <w:highlight w:val="yellow"/>
        </w:rPr>
        <w:t xml:space="preserve">   and lead to carbon performance or commitment credibility.</w:t>
      </w:r>
    </w:p>
    <w:p>
      <w:pPr>
        <w:spacing w:after="0" w:before="0"/>
        <w:ind w:left="288"/>
      </w:pPr>
      <w:r>
        <w:rPr>
          <w:rFonts w:ascii="Courier New" w:hAnsi="Courier New"/>
          <w:color w:val="333333"/>
          <w:sz w:val="18"/>
          <w:highlight w:val="yellow"/>
        </w:rPr>
        <w:t>4. The question should be specific and clear.</w:t>
      </w:r>
    </w:p>
    <w:p>
      <w:pPr>
        <w:spacing w:after="0" w:before="0"/>
        <w:ind w:left="288"/>
      </w:pPr>
      <w:r>
        <w:rPr>
          <w:rFonts w:ascii="Courier New" w:hAnsi="Courier New"/>
          <w:color w:val="333333"/>
          <w:sz w:val="18"/>
          <w:highlight w:val="yellow"/>
        </w:rPr>
        <w:t>5. The answer should be accurate and complete.</w:t>
      </w:r>
    </w:p>
    <w:p>
      <w:pPr>
        <w:spacing w:after="0" w:before="0"/>
        <w:ind w:left="288"/>
      </w:pPr>
      <w:r>
        <w:rPr>
          <w:rFonts w:ascii="Courier New" w:hAnsi="Courier New"/>
          <w:color w:val="333333"/>
          <w:sz w:val="18"/>
          <w:highlight w:val="yellow"/>
        </w:rPr>
        <w:t>{knowledge_context}</w:t>
      </w:r>
    </w:p>
    <w:p>
      <w:pPr>
        <w:spacing w:after="0" w:before="0"/>
        <w:ind w:left="288"/>
      </w:pPr>
      <w:r>
        <w:rPr>
          <w:rFonts w:ascii="Courier New" w:hAnsi="Courier New"/>
          <w:color w:val="333333"/>
          <w:sz w:val="18"/>
          <w:highlight w:val="yellow"/>
        </w:rPr>
        <w:t>Text:</w:t>
      </w:r>
    </w:p>
    <w:p>
      <w:pPr>
        <w:spacing w:after="0" w:before="0"/>
        <w:ind w:left="288"/>
      </w:pPr>
      <w:r>
        <w:rPr>
          <w:rFonts w:ascii="Courier New" w:hAnsi="Courier New"/>
          <w:color w:val="333333"/>
          <w:sz w:val="18"/>
          <w:highlight w:val="yellow"/>
        </w:rPr>
        <w:t>{chunk_text}</w:t>
      </w:r>
    </w:p>
    <w:p>
      <w:pPr>
        <w:spacing w:after="0" w:before="0"/>
        <w:ind w:left="288"/>
      </w:pPr>
      <w:r>
        <w:rPr>
          <w:rFonts w:ascii="Courier New" w:hAnsi="Courier New"/>
          <w:color w:val="333333"/>
          <w:sz w:val="18"/>
          <w:highlight w:val="yellow"/>
        </w:rPr>
        <w:t>Output format:</w:t>
      </w:r>
    </w:p>
    <w:p>
      <w:pPr>
        <w:spacing w:after="0" w:before="0"/>
        <w:ind w:left="288"/>
      </w:pPr>
      <w:r>
        <w:rPr>
          <w:rFonts w:ascii="Courier New" w:hAnsi="Courier New"/>
          <w:color w:val="333333"/>
          <w:sz w:val="18"/>
          <w:highlight w:val="yellow"/>
        </w:rPr>
        <w:t>Question: [your question]</w:t>
      </w:r>
    </w:p>
    <w:p>
      <w:pPr>
        <w:spacing w:after="0" w:before="0"/>
        <w:ind w:left="288"/>
      </w:pPr>
      <w:r>
        <w:rPr>
          <w:rFonts w:ascii="Courier New" w:hAnsi="Courier New"/>
          <w:color w:val="333333"/>
          <w:sz w:val="18"/>
          <w:highlight w:val="yellow"/>
        </w:rPr>
        <w:t>Answer: [your answer]</w:t>
      </w:r>
    </w:p>
    <w:p>
      <w:pPr>
        <w:spacing w:after="0" w:before="0"/>
        <w:ind w:left="288"/>
      </w:pPr>
      <w:r>
        <w:rPr>
          <w:rFonts w:ascii="Courier New" w:hAnsi="Courier New"/>
          <w:color w:val="333333"/>
          <w:sz w:val="18"/>
          <w:highlight w:val="yellow"/>
        </w:rPr>
        <w:t>Output only the Q&amp;A pair.</w:t>
      </w:r>
    </w:p>
    <w:p/>
    <w:p>
      <w:pPr>
        <w:pStyle w:val="Heading2"/>
        <w:jc w:val="left"/>
      </w:pPr>
      <w:r>
        <w:t>A.3.2 Analysis Expert</w:t>
      </w:r>
    </w:p>
    <w:p>
      <w:pPr>
        <w:spacing w:after="0" w:before="0"/>
        <w:ind w:left="288"/>
      </w:pPr>
      <w:r>
        <w:rPr>
          <w:rFonts w:ascii="Courier New" w:hAnsi="Courier New"/>
          <w:color w:val="333333"/>
          <w:sz w:val="18"/>
          <w:highlight w:val="yellow"/>
        </w:rPr>
        <w:t>You are a senior ESG analysis expert.</w:t>
      </w:r>
    </w:p>
    <w:p>
      <w:pPr>
        <w:spacing w:after="0" w:before="0"/>
        <w:ind w:left="288"/>
      </w:pPr>
      <w:r>
        <w:rPr>
          <w:rFonts w:ascii="Courier New" w:hAnsi="Courier New"/>
          <w:color w:val="333333"/>
          <w:sz w:val="18"/>
          <w:highlight w:val="yellow"/>
        </w:rPr>
        <w:t>Task: Generate one analysis task (instruction-answer pair) from the text.</w:t>
      </w:r>
    </w:p>
    <w:p>
      <w:pPr>
        <w:spacing w:after="0" w:before="0"/>
        <w:ind w:left="288"/>
      </w:pPr>
      <w:r>
        <w:rPr>
          <w:rFonts w:ascii="Courier New" w:hAnsi="Courier New"/>
          <w:color w:val="333333"/>
          <w:sz w:val="18"/>
          <w:highlight w:val="yellow"/>
        </w:rPr>
        <w:t>Requirements:</w:t>
      </w:r>
    </w:p>
    <w:p>
      <w:pPr>
        <w:spacing w:after="0" w:before="0"/>
        <w:ind w:left="288"/>
      </w:pPr>
      <w:r>
        <w:rPr>
          <w:rFonts w:ascii="Courier New" w:hAnsi="Courier New"/>
          <w:color w:val="333333"/>
          <w:sz w:val="18"/>
          <w:highlight w:val="yellow"/>
        </w:rPr>
        <w:t>1. The instruction should ask to analyze ESG content (e.g. comparison,</w:t>
      </w:r>
    </w:p>
    <w:p>
      <w:pPr>
        <w:spacing w:after="0" w:before="0"/>
        <w:ind w:left="288"/>
      </w:pPr>
      <w:r>
        <w:rPr>
          <w:rFonts w:ascii="Courier New" w:hAnsi="Courier New"/>
          <w:color w:val="333333"/>
          <w:sz w:val="18"/>
          <w:highlight w:val="yellow"/>
        </w:rPr>
        <w:t xml:space="preserve">   trend, impact) and lead to carbon/commitment assessment.</w:t>
      </w:r>
    </w:p>
    <w:p>
      <w:pPr>
        <w:spacing w:after="0" w:before="0"/>
        <w:ind w:left="288"/>
      </w:pPr>
      <w:r>
        <w:rPr>
          <w:rFonts w:ascii="Courier New" w:hAnsi="Courier New"/>
          <w:color w:val="333333"/>
          <w:sz w:val="18"/>
          <w:highlight w:val="yellow"/>
        </w:rPr>
        <w:t>2. The answer should contain in-depth analysis grounded in the text</w:t>
      </w:r>
    </w:p>
    <w:p>
      <w:pPr>
        <w:spacing w:after="0" w:before="0"/>
        <w:ind w:left="288"/>
      </w:pPr>
      <w:r>
        <w:rPr>
          <w:rFonts w:ascii="Courier New" w:hAnsi="Courier New"/>
          <w:color w:val="333333"/>
          <w:sz w:val="18"/>
          <w:highlight w:val="yellow"/>
        </w:rPr>
        <w:t xml:space="preserve">   and cross-domain reasoning.</w:t>
      </w:r>
    </w:p>
    <w:p>
      <w:pPr>
        <w:spacing w:after="0" w:before="0"/>
        <w:ind w:left="288"/>
      </w:pPr>
      <w:r>
        <w:rPr>
          <w:rFonts w:ascii="Courier New" w:hAnsi="Courier New"/>
          <w:color w:val="333333"/>
          <w:sz w:val="18"/>
          <w:highlight w:val="yellow"/>
        </w:rPr>
        <w:t>3. Be critical and assess credibility of carbon commitments.</w:t>
      </w:r>
    </w:p>
    <w:p>
      <w:pPr>
        <w:spacing w:after="0" w:before="0"/>
        <w:ind w:left="288"/>
      </w:pPr>
      <w:r>
        <w:rPr>
          <w:rFonts w:ascii="Courier New" w:hAnsi="Courier New"/>
          <w:color w:val="333333"/>
          <w:sz w:val="18"/>
          <w:highlight w:val="yellow"/>
        </w:rPr>
        <w:t>{knowledge_context}</w:t>
      </w:r>
    </w:p>
    <w:p>
      <w:pPr>
        <w:spacing w:after="0" w:before="0"/>
        <w:ind w:left="288"/>
      </w:pPr>
      <w:r>
        <w:rPr>
          <w:rFonts w:ascii="Courier New" w:hAnsi="Courier New"/>
          <w:color w:val="333333"/>
          <w:sz w:val="18"/>
          <w:highlight w:val="yellow"/>
        </w:rPr>
        <w:t>Text:</w:t>
      </w:r>
    </w:p>
    <w:p>
      <w:pPr>
        <w:spacing w:after="0" w:before="0"/>
        <w:ind w:left="288"/>
      </w:pPr>
      <w:r>
        <w:rPr>
          <w:rFonts w:ascii="Courier New" w:hAnsi="Courier New"/>
          <w:color w:val="333333"/>
          <w:sz w:val="18"/>
          <w:highlight w:val="yellow"/>
        </w:rPr>
        <w:t>{chunk_text}</w:t>
      </w:r>
    </w:p>
    <w:p>
      <w:pPr>
        <w:spacing w:after="0" w:before="0"/>
        <w:ind w:left="288"/>
      </w:pPr>
      <w:r>
        <w:rPr>
          <w:rFonts w:ascii="Courier New" w:hAnsi="Courier New"/>
          <w:color w:val="333333"/>
          <w:sz w:val="18"/>
          <w:highlight w:val="yellow"/>
        </w:rPr>
        <w:t>Output format:</w:t>
      </w:r>
    </w:p>
    <w:p>
      <w:pPr>
        <w:spacing w:after="0" w:before="0"/>
        <w:ind w:left="288"/>
      </w:pPr>
      <w:r>
        <w:rPr>
          <w:rFonts w:ascii="Courier New" w:hAnsi="Courier New"/>
          <w:color w:val="333333"/>
          <w:sz w:val="18"/>
          <w:highlight w:val="yellow"/>
        </w:rPr>
        <w:t>Instruction: [your instruction]</w:t>
      </w:r>
    </w:p>
    <w:p>
      <w:pPr>
        <w:spacing w:after="0" w:before="0"/>
        <w:ind w:left="288"/>
      </w:pPr>
      <w:r>
        <w:rPr>
          <w:rFonts w:ascii="Courier New" w:hAnsi="Courier New"/>
          <w:color w:val="333333"/>
          <w:sz w:val="18"/>
          <w:highlight w:val="yellow"/>
        </w:rPr>
        <w:t>Analysis result: [your analysis]</w:t>
      </w:r>
    </w:p>
    <w:p>
      <w:pPr>
        <w:spacing w:after="0" w:before="0"/>
        <w:ind w:left="288"/>
      </w:pPr>
      <w:r>
        <w:rPr>
          <w:rFonts w:ascii="Courier New" w:hAnsi="Courier New"/>
          <w:color w:val="333333"/>
          <w:sz w:val="18"/>
          <w:highlight w:val="yellow"/>
        </w:rPr>
        <w:t>Output only instruction and analysis result.</w:t>
      </w:r>
    </w:p>
    <w:p/>
    <w:p>
      <w:pPr>
        <w:pStyle w:val="Heading2"/>
        <w:jc w:val="left"/>
      </w:pPr>
      <w:r>
        <w:t>A.3.3 Greenwashing Detection Expert</w:t>
      </w:r>
    </w:p>
    <w:p>
      <w:pPr>
        <w:spacing w:after="0" w:before="0"/>
        <w:ind w:left="288"/>
      </w:pPr>
      <w:r>
        <w:rPr>
          <w:rFonts w:ascii="Courier New" w:hAnsi="Courier New"/>
          <w:color w:val="333333"/>
          <w:sz w:val="18"/>
          <w:highlight w:val="yellow"/>
        </w:rPr>
        <w:t>You are a senior ESG greenwashing detection expert, skilled at identifying</w:t>
      </w:r>
    </w:p>
    <w:p>
      <w:pPr>
        <w:spacing w:after="0" w:before="0"/>
        <w:ind w:left="288"/>
      </w:pPr>
      <w:r>
        <w:rPr>
          <w:rFonts w:ascii="Courier New" w:hAnsi="Courier New"/>
          <w:color w:val="333333"/>
          <w:sz w:val="18"/>
          <w:highlight w:val="yellow"/>
        </w:rPr>
        <w:t>misleading or exaggerated claims in reports.</w:t>
      </w:r>
    </w:p>
    <w:p>
      <w:pPr>
        <w:spacing w:after="0" w:before="0"/>
        <w:ind w:left="288"/>
      </w:pPr>
      <w:r>
        <w:rPr>
          <w:rFonts w:ascii="Courier New" w:hAnsi="Courier New"/>
          <w:color w:val="333333"/>
          <w:sz w:val="18"/>
          <w:highlight w:val="yellow"/>
        </w:rPr>
        <w:t>Task: Generate a greenwashing detection task (instruction-answer pair)</w:t>
      </w:r>
    </w:p>
    <w:p>
      <w:pPr>
        <w:spacing w:after="0" w:before="0"/>
        <w:ind w:left="288"/>
      </w:pPr>
      <w:r>
        <w:rPr>
          <w:rFonts w:ascii="Courier New" w:hAnsi="Courier New"/>
          <w:color w:val="333333"/>
          <w:sz w:val="18"/>
          <w:highlight w:val="yellow"/>
        </w:rPr>
        <w:t>from the text.</w:t>
      </w:r>
    </w:p>
    <w:p>
      <w:pPr>
        <w:spacing w:after="0" w:before="0"/>
        <w:ind w:left="288"/>
      </w:pPr>
      <w:r>
        <w:rPr>
          <w:rFonts w:ascii="Courier New" w:hAnsi="Courier New"/>
          <w:color w:val="333333"/>
          <w:sz w:val="18"/>
          <w:highlight w:val="yellow"/>
        </w:rPr>
        <w:t>Requirements:</w:t>
      </w:r>
    </w:p>
    <w:p>
      <w:pPr>
        <w:spacing w:after="0" w:before="0"/>
        <w:ind w:left="288"/>
      </w:pPr>
      <w:r>
        <w:rPr>
          <w:rFonts w:ascii="Courier New" w:hAnsi="Courier New"/>
          <w:color w:val="333333"/>
          <w:sz w:val="18"/>
          <w:highlight w:val="yellow"/>
        </w:rPr>
        <w:t>1. Identify greenwashing patterns (refer to common patterns list).</w:t>
      </w:r>
    </w:p>
    <w:p>
      <w:pPr>
        <w:spacing w:after="0" w:before="0"/>
        <w:ind w:left="288"/>
      </w:pPr>
      <w:r>
        <w:rPr>
          <w:rFonts w:ascii="Courier New" w:hAnsi="Courier New"/>
          <w:color w:val="333333"/>
          <w:sz w:val="18"/>
          <w:highlight w:val="yellow"/>
        </w:rPr>
        <w:t>2. Quantify greenwashing risk (0-1, 1 = highest risk).</w:t>
      </w:r>
    </w:p>
    <w:p>
      <w:pPr>
        <w:spacing w:after="0" w:before="0"/>
        <w:ind w:left="288"/>
      </w:pPr>
      <w:r>
        <w:rPr>
          <w:rFonts w:ascii="Courier New" w:hAnsi="Courier New"/>
          <w:color w:val="333333"/>
          <w:sz w:val="18"/>
          <w:highlight w:val="yellow"/>
        </w:rPr>
        <w:t>3. Provide evidence chain (quote source text).</w:t>
      </w:r>
    </w:p>
    <w:p>
      <w:pPr>
        <w:spacing w:after="0" w:before="0"/>
        <w:ind w:left="288"/>
      </w:pPr>
      <w:r>
        <w:rPr>
          <w:rFonts w:ascii="Courier New" w:hAnsi="Courier New"/>
          <w:color w:val="333333"/>
          <w:sz w:val="18"/>
          <w:highlight w:val="yellow"/>
        </w:rPr>
        <w:t>4. Produce greenwashing risk report.</w:t>
      </w:r>
    </w:p>
    <w:p>
      <w:pPr>
        <w:spacing w:after="0" w:before="0"/>
        <w:ind w:left="288"/>
      </w:pPr>
      <w:r>
        <w:rPr>
          <w:rFonts w:ascii="Courier New" w:hAnsi="Courier New"/>
          <w:color w:val="333333"/>
          <w:sz w:val="18"/>
          <w:highlight w:val="yellow"/>
        </w:rPr>
      </w:r>
    </w:p>
    <w:p>
      <w:pPr>
        <w:spacing w:after="0" w:before="0"/>
        <w:ind w:left="288"/>
      </w:pPr>
      <w:r>
        <w:rPr>
          <w:rFonts w:ascii="Courier New" w:hAnsi="Courier New"/>
          <w:color w:val="333333"/>
          <w:sz w:val="18"/>
          <w:highlight w:val="yellow"/>
        </w:rPr>
        <w:t>Common greenwashing patterns:</w:t>
      </w:r>
    </w:p>
    <w:p>
      <w:pPr>
        <w:spacing w:after="0" w:before="0"/>
        <w:ind w:left="288"/>
      </w:pPr>
      <w:r>
        <w:rPr>
          <w:rFonts w:ascii="Courier New" w:hAnsi="Courier New"/>
          <w:color w:val="333333"/>
          <w:sz w:val="18"/>
          <w:highlight w:val="yellow"/>
        </w:rPr>
        <w:t>1. Vague commitments: "committed to", "plan to" without concrete targets</w:t>
      </w:r>
    </w:p>
    <w:p>
      <w:pPr>
        <w:spacing w:after="0" w:before="0"/>
        <w:ind w:left="288"/>
      </w:pPr>
      <w:r>
        <w:rPr>
          <w:rFonts w:ascii="Courier New" w:hAnsi="Courier New"/>
          <w:color w:val="333333"/>
          <w:sz w:val="18"/>
          <w:highlight w:val="yellow"/>
        </w:rPr>
        <w:t>2. Selective disclosure: only favorable data, hiding unfavorable info</w:t>
      </w:r>
    </w:p>
    <w:p>
      <w:pPr>
        <w:spacing w:after="0" w:before="0"/>
        <w:ind w:left="288"/>
      </w:pPr>
      <w:r>
        <w:rPr>
          <w:rFonts w:ascii="Courier New" w:hAnsi="Courier New"/>
          <w:color w:val="333333"/>
          <w:sz w:val="18"/>
          <w:highlight w:val="yellow"/>
        </w:rPr>
        <w:t>3. Exaggerated impact: overstating environmental project effects</w:t>
      </w:r>
    </w:p>
    <w:p>
      <w:pPr>
        <w:spacing w:after="0" w:before="0"/>
        <w:ind w:left="288"/>
      </w:pPr>
      <w:r>
        <w:rPr>
          <w:rFonts w:ascii="Courier New" w:hAnsi="Courier New"/>
          <w:color w:val="333333"/>
          <w:sz w:val="18"/>
          <w:highlight w:val="yellow"/>
        </w:rPr>
        <w:t>4. Time mismatch: presenting future plans as achieved results</w:t>
      </w:r>
    </w:p>
    <w:p>
      <w:pPr>
        <w:spacing w:after="0" w:before="0"/>
        <w:ind w:left="288"/>
      </w:pPr>
      <w:r>
        <w:rPr>
          <w:rFonts w:ascii="Courier New" w:hAnsi="Courier New"/>
          <w:color w:val="333333"/>
          <w:sz w:val="18"/>
          <w:highlight w:val="yellow"/>
        </w:rPr>
        <w:t>5. Scope confusion: mixing scope 1/2/3 emissions</w:t>
      </w:r>
    </w:p>
    <w:p>
      <w:pPr>
        <w:spacing w:after="0" w:before="0"/>
        <w:ind w:left="288"/>
      </w:pPr>
      <w:r>
        <w:rPr>
          <w:rFonts w:ascii="Courier New" w:hAnsi="Courier New"/>
          <w:color w:val="333333"/>
          <w:sz w:val="18"/>
          <w:highlight w:val="yellow"/>
        </w:rPr>
        <w:t>6. Inconsistency: commitments vs actual actions</w:t>
      </w:r>
    </w:p>
    <w:p>
      <w:pPr>
        <w:spacing w:after="0" w:before="0"/>
        <w:ind w:left="288"/>
      </w:pPr>
      <w:r>
        <w:rPr>
          <w:rFonts w:ascii="Courier New" w:hAnsi="Courier New"/>
          <w:color w:val="333333"/>
          <w:sz w:val="18"/>
          <w:highlight w:val="yellow"/>
        </w:rPr>
        <w:t>7. Lack of verification: no third-party or traceable evidence</w:t>
      </w:r>
    </w:p>
    <w:p>
      <w:pPr>
        <w:spacing w:after="0" w:before="0"/>
        <w:ind w:left="288"/>
      </w:pPr>
      <w:r>
        <w:rPr>
          <w:rFonts w:ascii="Courier New" w:hAnsi="Courier New"/>
          <w:color w:val="333333"/>
          <w:sz w:val="18"/>
          <w:highlight w:val="yellow"/>
        </w:rPr>
        <w:t>{knowledge_context}</w:t>
      </w:r>
    </w:p>
    <w:p>
      <w:pPr>
        <w:spacing w:after="0" w:before="0"/>
        <w:ind w:left="288"/>
      </w:pPr>
      <w:r>
        <w:rPr>
          <w:rFonts w:ascii="Courier New" w:hAnsi="Courier New"/>
          <w:color w:val="333333"/>
          <w:sz w:val="18"/>
          <w:highlight w:val="yellow"/>
        </w:rPr>
        <w:t>Text:</w:t>
      </w:r>
    </w:p>
    <w:p>
      <w:pPr>
        <w:spacing w:after="0" w:before="0"/>
        <w:ind w:left="288"/>
      </w:pPr>
      <w:r>
        <w:rPr>
          <w:rFonts w:ascii="Courier New" w:hAnsi="Courier New"/>
          <w:color w:val="333333"/>
          <w:sz w:val="18"/>
          <w:highlight w:val="yellow"/>
        </w:rPr>
        <w:t>{chunk_text}</w:t>
      </w:r>
    </w:p>
    <w:p>
      <w:pPr>
        <w:spacing w:after="0" w:before="0"/>
        <w:ind w:left="288"/>
      </w:pPr>
      <w:r>
        <w:rPr>
          <w:rFonts w:ascii="Courier New" w:hAnsi="Courier New"/>
          <w:color w:val="333333"/>
          <w:sz w:val="18"/>
          <w:highlight w:val="yellow"/>
        </w:rPr>
        <w:t>Output format:</w:t>
      </w:r>
    </w:p>
    <w:p>
      <w:pPr>
        <w:spacing w:after="0" w:before="0"/>
        <w:ind w:left="288"/>
      </w:pPr>
      <w:r>
        <w:rPr>
          <w:rFonts w:ascii="Courier New" w:hAnsi="Courier New"/>
          <w:color w:val="333333"/>
          <w:sz w:val="18"/>
          <w:highlight w:val="yellow"/>
        </w:rPr>
        <w:t>Instruction: [detection instruction: identify greenwashing patterns]</w:t>
      </w:r>
    </w:p>
    <w:p>
      <w:pPr>
        <w:spacing w:after="0" w:before="0"/>
        <w:ind w:left="288"/>
      </w:pPr>
      <w:r>
        <w:rPr>
          <w:rFonts w:ascii="Courier New" w:hAnsi="Courier New"/>
          <w:color w:val="333333"/>
          <w:sz w:val="18"/>
          <w:highlight w:val="yellow"/>
        </w:rPr>
        <w:t>Answer: [detection result: matched patterns, risk level, evidence chain]</w:t>
      </w:r>
    </w:p>
    <w:p>
      <w:pPr>
        <w:spacing w:after="0" w:before="0"/>
        <w:ind w:left="288"/>
      </w:pPr>
      <w:r>
        <w:rPr>
          <w:rFonts w:ascii="Courier New" w:hAnsi="Courier New"/>
          <w:color w:val="333333"/>
          <w:sz w:val="18"/>
          <w:highlight w:val="yellow"/>
        </w:rPr>
        <w:t>Output only instruction and answer.</w:t>
      </w:r>
    </w:p>
    <w:p/>
    <w:p>
      <w:pPr>
        <w:pStyle w:val="Heading2"/>
        <w:jc w:val="left"/>
      </w:pPr>
      <w:r>
        <w:t>A.3.4 Consistency Verification Expert</w:t>
      </w:r>
    </w:p>
    <w:p>
      <w:pPr>
        <w:spacing w:after="0" w:before="0"/>
        <w:ind w:left="288"/>
      </w:pPr>
      <w:r>
        <w:rPr>
          <w:rFonts w:ascii="Courier New" w:hAnsi="Courier New"/>
          <w:color w:val="333333"/>
          <w:sz w:val="18"/>
          <w:highlight w:val="yellow"/>
        </w:rPr>
        <w:t>You are a senior ESG consistency verification expert, skilled at detecting</w:t>
      </w:r>
    </w:p>
    <w:p>
      <w:pPr>
        <w:spacing w:after="0" w:before="0"/>
        <w:ind w:left="288"/>
      </w:pPr>
      <w:r>
        <w:rPr>
          <w:rFonts w:ascii="Courier New" w:hAnsi="Courier New"/>
          <w:color w:val="333333"/>
          <w:sz w:val="18"/>
          <w:highlight w:val="yellow"/>
        </w:rPr>
        <w:t>data contradictions and gaps in reports.</w:t>
      </w:r>
    </w:p>
    <w:p>
      <w:pPr>
        <w:spacing w:after="0" w:before="0"/>
        <w:ind w:left="288"/>
      </w:pPr>
      <w:r>
        <w:rPr>
          <w:rFonts w:ascii="Courier New" w:hAnsi="Courier New"/>
          <w:color w:val="333333"/>
          <w:sz w:val="18"/>
          <w:highlight w:val="yellow"/>
        </w:rPr>
        <w:t>Task: Generate a consistency verification task (instruction-answer pair)</w:t>
      </w:r>
    </w:p>
    <w:p>
      <w:pPr>
        <w:spacing w:after="0" w:before="0"/>
        <w:ind w:left="288"/>
      </w:pPr>
      <w:r>
        <w:rPr>
          <w:rFonts w:ascii="Courier New" w:hAnsi="Courier New"/>
          <w:color w:val="333333"/>
          <w:sz w:val="18"/>
          <w:highlight w:val="yellow"/>
        </w:rPr>
        <w:t>from the text.</w:t>
      </w:r>
    </w:p>
    <w:p>
      <w:pPr>
        <w:spacing w:after="0" w:before="0"/>
        <w:ind w:left="288"/>
      </w:pPr>
      <w:r>
        <w:rPr>
          <w:rFonts w:ascii="Courier New" w:hAnsi="Courier New"/>
          <w:color w:val="333333"/>
          <w:sz w:val="18"/>
          <w:highlight w:val="yellow"/>
        </w:rPr>
        <w:t>Requirements:</w:t>
      </w:r>
    </w:p>
    <w:p>
      <w:pPr>
        <w:spacing w:after="0" w:before="0"/>
        <w:ind w:left="288"/>
      </w:pPr>
      <w:r>
        <w:rPr>
          <w:rFonts w:ascii="Courier New" w:hAnsi="Courier New"/>
          <w:color w:val="333333"/>
          <w:sz w:val="18"/>
          <w:highlight w:val="yellow"/>
        </w:rPr>
        <w:t>1. Check whether the same data is stated consistently across the text.</w:t>
      </w:r>
    </w:p>
    <w:p>
      <w:pPr>
        <w:spacing w:after="0" w:before="0"/>
        <w:ind w:left="288"/>
      </w:pPr>
      <w:r>
        <w:rPr>
          <w:rFonts w:ascii="Courier New" w:hAnsi="Courier New"/>
          <w:color w:val="333333"/>
          <w:sz w:val="18"/>
          <w:highlight w:val="yellow"/>
        </w:rPr>
        <w:t>2. Identify contradictions (e.g. scope-1 emissions differing across sections).</w:t>
      </w:r>
    </w:p>
    <w:p>
      <w:pPr>
        <w:spacing w:after="0" w:before="0"/>
        <w:ind w:left="288"/>
      </w:pPr>
      <w:r>
        <w:rPr>
          <w:rFonts w:ascii="Courier New" w:hAnsi="Courier New"/>
          <w:color w:val="333333"/>
          <w:sz w:val="18"/>
          <w:highlight w:val="yellow"/>
        </w:rPr>
        <w:t>3. Detect "missing data" patterns (only favorable data disclosed).</w:t>
      </w:r>
    </w:p>
    <w:p>
      <w:pPr>
        <w:spacing w:after="0" w:before="0"/>
        <w:ind w:left="288"/>
      </w:pPr>
      <w:r>
        <w:rPr>
          <w:rFonts w:ascii="Courier New" w:hAnsi="Courier New"/>
          <w:color w:val="333333"/>
          <w:sz w:val="18"/>
          <w:highlight w:val="yellow"/>
        </w:rPr>
        <w:t>4. Produce consistency report.</w:t>
      </w:r>
    </w:p>
    <w:p>
      <w:pPr>
        <w:spacing w:after="0" w:before="0"/>
        <w:ind w:left="288"/>
      </w:pPr>
      <w:r>
        <w:rPr>
          <w:rFonts w:ascii="Courier New" w:hAnsi="Courier New"/>
          <w:color w:val="333333"/>
          <w:sz w:val="18"/>
          <w:highlight w:val="yellow"/>
        </w:rPr>
        <w:t>{knowledge_context}</w:t>
      </w:r>
    </w:p>
    <w:p>
      <w:pPr>
        <w:spacing w:after="0" w:before="0"/>
        <w:ind w:left="288"/>
      </w:pPr>
      <w:r>
        <w:rPr>
          <w:rFonts w:ascii="Courier New" w:hAnsi="Courier New"/>
          <w:color w:val="333333"/>
          <w:sz w:val="18"/>
          <w:highlight w:val="yellow"/>
        </w:rPr>
        <w:t>Text:</w:t>
      </w:r>
    </w:p>
    <w:p>
      <w:pPr>
        <w:spacing w:after="0" w:before="0"/>
        <w:ind w:left="288"/>
      </w:pPr>
      <w:r>
        <w:rPr>
          <w:rFonts w:ascii="Courier New" w:hAnsi="Courier New"/>
          <w:color w:val="333333"/>
          <w:sz w:val="18"/>
          <w:highlight w:val="yellow"/>
        </w:rPr>
        <w:t>{chunk_text}</w:t>
      </w:r>
    </w:p>
    <w:p>
      <w:pPr>
        <w:spacing w:after="0" w:before="0"/>
        <w:ind w:left="288"/>
      </w:pPr>
      <w:r>
        <w:rPr>
          <w:rFonts w:ascii="Courier New" w:hAnsi="Courier New"/>
          <w:color w:val="333333"/>
          <w:sz w:val="18"/>
          <w:highlight w:val="yellow"/>
        </w:rPr>
        <w:t>Output format:</w:t>
      </w:r>
    </w:p>
    <w:p>
      <w:pPr>
        <w:spacing w:after="0" w:before="0"/>
        <w:ind w:left="288"/>
      </w:pPr>
      <w:r>
        <w:rPr>
          <w:rFonts w:ascii="Courier New" w:hAnsi="Courier New"/>
          <w:color w:val="333333"/>
          <w:sz w:val="18"/>
          <w:highlight w:val="yellow"/>
        </w:rPr>
        <w:t>Instruction: [verification instruction: check data consistency]</w:t>
      </w:r>
    </w:p>
    <w:p>
      <w:pPr>
        <w:spacing w:after="0" w:before="0"/>
        <w:ind w:left="288"/>
      </w:pPr>
      <w:r>
        <w:rPr>
          <w:rFonts w:ascii="Courier New" w:hAnsi="Courier New"/>
          <w:color w:val="333333"/>
          <w:sz w:val="18"/>
          <w:highlight w:val="yellow"/>
        </w:rPr>
        <w:t>Answer: [verification result: consistency assessment, contradictions,</w:t>
      </w:r>
    </w:p>
    <w:p>
      <w:pPr>
        <w:spacing w:after="0" w:before="0"/>
        <w:ind w:left="288"/>
      </w:pPr>
      <w:r>
        <w:rPr>
          <w:rFonts w:ascii="Courier New" w:hAnsi="Courier New"/>
          <w:color w:val="333333"/>
          <w:sz w:val="18"/>
          <w:highlight w:val="yellow"/>
        </w:rPr>
        <w:t xml:space="preserve">         missing patterns]</w:t>
      </w:r>
    </w:p>
    <w:p>
      <w:pPr>
        <w:spacing w:after="0" w:before="0"/>
        <w:ind w:left="288"/>
      </w:pPr>
      <w:r>
        <w:rPr>
          <w:rFonts w:ascii="Courier New" w:hAnsi="Courier New"/>
          <w:color w:val="333333"/>
          <w:sz w:val="18"/>
          <w:highlight w:val="yellow"/>
        </w:rPr>
        <w:t>Output only instruction and answer.</w:t>
      </w:r>
    </w:p>
    <w:p/>
    <w:p>
      <w:pPr>
        <w:pStyle w:val="Heading2"/>
        <w:jc w:val="left"/>
      </w:pPr>
      <w:r>
        <w:t>A.3.5 Summary of All 11 Experts</w:t>
      </w:r>
    </w:p>
    <w:p>
      <w:r>
        <w:t>Table 2 summarizes the role and output format of each expert agent. All experts share the same prompt structure (persona + task + requirements + knowledge context + chunk text + output format); only the specific task description and output labels differ.</w:t>
      </w:r>
    </w:p>
    <w:tbl>
      <w:tblPr>
        <w:tblStyle w:val="TableGrid"/>
        <w:tblW w:type="auto" w:w="0"/>
        <w:tblLook w:firstColumn="1" w:firstRow="1" w:lastColumn="0" w:lastRow="0" w:noHBand="0" w:noVBand="1" w:val="04A0"/>
      </w:tblPr>
      <w:tblGrid>
        <w:gridCol w:w="2880"/>
        <w:gridCol w:w="2880"/>
        <w:gridCol w:w="2880"/>
      </w:tblGrid>
      <w:tr>
        <w:tc>
          <w:tcPr>
            <w:tcW w:type="dxa" w:w="2880"/>
            <w:shd w:fill="E7E6E6"/>
          </w:tcPr>
          <w:p>
            <w:r>
              <w:rPr>
                <w:b/>
                <w:sz w:val="18"/>
              </w:rPr>
              <w:t>Expert</w:t>
            </w:r>
          </w:p>
        </w:tc>
        <w:tc>
          <w:tcPr>
            <w:tcW w:type="dxa" w:w="2880"/>
            <w:shd w:fill="E7E6E6"/>
          </w:tcPr>
          <w:p>
            <w:r>
              <w:rPr>
                <w:b/>
                <w:sz w:val="18"/>
              </w:rPr>
              <w:t>Core Task</w:t>
            </w:r>
          </w:p>
        </w:tc>
        <w:tc>
          <w:tcPr>
            <w:tcW w:type="dxa" w:w="2880"/>
            <w:shd w:fill="E7E6E6"/>
          </w:tcPr>
          <w:p>
            <w:r>
              <w:rPr>
                <w:b/>
                <w:sz w:val="18"/>
              </w:rPr>
              <w:t>Output Labels</w:t>
            </w:r>
          </w:p>
        </w:tc>
      </w:tr>
      <w:tr>
        <w:tc>
          <w:tcPr>
            <w:tcW w:type="dxa" w:w="2880"/>
          </w:tcPr>
          <w:p>
            <w:r>
              <w:rPr>
                <w:sz w:val="18"/>
              </w:rPr>
              <w:t>Q&amp;A Expert</w:t>
            </w:r>
          </w:p>
        </w:tc>
        <w:tc>
          <w:tcPr>
            <w:tcW w:type="dxa" w:w="2880"/>
          </w:tcPr>
          <w:p>
            <w:r>
              <w:rPr>
                <w:sz w:val="18"/>
              </w:rPr>
              <w:t>Generate a specific question–answer pair grounded in the text.</w:t>
            </w:r>
          </w:p>
        </w:tc>
        <w:tc>
          <w:tcPr>
            <w:tcW w:type="dxa" w:w="2880"/>
          </w:tcPr>
          <w:p>
            <w:r>
              <w:rPr>
                <w:sz w:val="18"/>
              </w:rPr>
              <w:t>Question / Answer</w:t>
            </w:r>
          </w:p>
        </w:tc>
      </w:tr>
      <w:tr>
        <w:tc>
          <w:tcPr>
            <w:tcW w:type="dxa" w:w="2880"/>
          </w:tcPr>
          <w:p>
            <w:r>
              <w:rPr>
                <w:sz w:val="18"/>
              </w:rPr>
              <w:t>Summary Expert</w:t>
            </w:r>
          </w:p>
        </w:tc>
        <w:tc>
          <w:tcPr>
            <w:tcW w:type="dxa" w:w="2880"/>
          </w:tcPr>
          <w:p>
            <w:r>
              <w:rPr>
                <w:sz w:val="18"/>
              </w:rPr>
              <w:t>Generate a summarization task (100–200 words) highlighting ESG content.</w:t>
            </w:r>
          </w:p>
        </w:tc>
        <w:tc>
          <w:tcPr>
            <w:tcW w:type="dxa" w:w="2880"/>
          </w:tcPr>
          <w:p>
            <w:r>
              <w:rPr>
                <w:sz w:val="18"/>
              </w:rPr>
              <w:t>Instruction / Summary</w:t>
            </w:r>
          </w:p>
        </w:tc>
      </w:tr>
      <w:tr>
        <w:tc>
          <w:tcPr>
            <w:tcW w:type="dxa" w:w="2880"/>
          </w:tcPr>
          <w:p>
            <w:r>
              <w:rPr>
                <w:sz w:val="18"/>
              </w:rPr>
              <w:t>Extraction Expert</w:t>
            </w:r>
          </w:p>
        </w:tc>
        <w:tc>
          <w:tcPr>
            <w:tcW w:type="dxa" w:w="2880"/>
          </w:tcPr>
          <w:p>
            <w:r>
              <w:rPr>
                <w:sz w:val="18"/>
              </w:rPr>
              <w:t>Extract structured ESG information (emissions, employee count, etc.).</w:t>
            </w:r>
          </w:p>
        </w:tc>
        <w:tc>
          <w:tcPr>
            <w:tcW w:type="dxa" w:w="2880"/>
          </w:tcPr>
          <w:p>
            <w:r>
              <w:rPr>
                <w:sz w:val="18"/>
              </w:rPr>
              <w:t>Instruction / Extraction result</w:t>
            </w:r>
          </w:p>
        </w:tc>
      </w:tr>
      <w:tr>
        <w:tc>
          <w:tcPr>
            <w:tcW w:type="dxa" w:w="2880"/>
          </w:tcPr>
          <w:p>
            <w:r>
              <w:rPr>
                <w:sz w:val="18"/>
              </w:rPr>
              <w:t>Classification Expert</w:t>
            </w:r>
          </w:p>
        </w:tc>
        <w:tc>
          <w:tcPr>
            <w:tcW w:type="dxa" w:w="2880"/>
          </w:tcPr>
          <w:p>
            <w:r>
              <w:rPr>
                <w:sz w:val="18"/>
              </w:rPr>
              <w:t>Classify text by ESG dimension (E/S/G/Mixed) with rationale.</w:t>
            </w:r>
          </w:p>
        </w:tc>
        <w:tc>
          <w:tcPr>
            <w:tcW w:type="dxa" w:w="2880"/>
          </w:tcPr>
          <w:p>
            <w:r>
              <w:rPr>
                <w:sz w:val="18"/>
              </w:rPr>
              <w:t>Instruction / Classification result</w:t>
            </w:r>
          </w:p>
        </w:tc>
      </w:tr>
      <w:tr>
        <w:tc>
          <w:tcPr>
            <w:tcW w:type="dxa" w:w="2880"/>
          </w:tcPr>
          <w:p>
            <w:r>
              <w:rPr>
                <w:sz w:val="18"/>
              </w:rPr>
              <w:t>Analysis Expert</w:t>
            </w:r>
          </w:p>
        </w:tc>
        <w:tc>
          <w:tcPr>
            <w:tcW w:type="dxa" w:w="2880"/>
          </w:tcPr>
          <w:p>
            <w:r>
              <w:rPr>
                <w:sz w:val="18"/>
              </w:rPr>
              <w:t>Provide in-depth cross-domain analysis and critical assessment.</w:t>
            </w:r>
          </w:p>
        </w:tc>
        <w:tc>
          <w:tcPr>
            <w:tcW w:type="dxa" w:w="2880"/>
          </w:tcPr>
          <w:p>
            <w:r>
              <w:rPr>
                <w:sz w:val="18"/>
              </w:rPr>
              <w:t>Instruction / Analysis result</w:t>
            </w:r>
          </w:p>
        </w:tc>
      </w:tr>
      <w:tr>
        <w:tc>
          <w:tcPr>
            <w:tcW w:type="dxa" w:w="2880"/>
          </w:tcPr>
          <w:p>
            <w:r>
              <w:rPr>
                <w:sz w:val="18"/>
              </w:rPr>
              <w:t>Temporal Analysis Expert</w:t>
            </w:r>
          </w:p>
        </w:tc>
        <w:tc>
          <w:tcPr>
            <w:tcW w:type="dxa" w:w="2880"/>
          </w:tcPr>
          <w:p>
            <w:r>
              <w:rPr>
                <w:sz w:val="18"/>
              </w:rPr>
              <w:t>Analyze multi-year trends, commitment consistency, and data gaps.</w:t>
            </w:r>
          </w:p>
        </w:tc>
        <w:tc>
          <w:tcPr>
            <w:tcW w:type="dxa" w:w="2880"/>
          </w:tcPr>
          <w:p>
            <w:r>
              <w:rPr>
                <w:sz w:val="18"/>
              </w:rPr>
              <w:t>Instruction / Answer</w:t>
            </w:r>
          </w:p>
        </w:tc>
      </w:tr>
      <w:tr>
        <w:tc>
          <w:tcPr>
            <w:tcW w:type="dxa" w:w="2880"/>
          </w:tcPr>
          <w:p>
            <w:r>
              <w:rPr>
                <w:sz w:val="18"/>
              </w:rPr>
              <w:t>Benchmark Comparison Expert</w:t>
            </w:r>
          </w:p>
        </w:tc>
        <w:tc>
          <w:tcPr>
            <w:tcW w:type="dxa" w:w="2880"/>
          </w:tcPr>
          <w:p>
            <w:r>
              <w:rPr>
                <w:sz w:val="18"/>
              </w:rPr>
              <w:t>Compare company data against industry averages and flag anomalies.</w:t>
            </w:r>
          </w:p>
        </w:tc>
        <w:tc>
          <w:tcPr>
            <w:tcW w:type="dxa" w:w="2880"/>
          </w:tcPr>
          <w:p>
            <w:r>
              <w:rPr>
                <w:sz w:val="18"/>
              </w:rPr>
              <w:t>Instruction / Answer</w:t>
            </w:r>
          </w:p>
        </w:tc>
      </w:tr>
      <w:tr>
        <w:tc>
          <w:tcPr>
            <w:tcW w:type="dxa" w:w="2880"/>
          </w:tcPr>
          <w:p>
            <w:r>
              <w:rPr>
                <w:sz w:val="18"/>
              </w:rPr>
              <w:t>Greenwashing Detection Expert</w:t>
            </w:r>
          </w:p>
        </w:tc>
        <w:tc>
          <w:tcPr>
            <w:tcW w:type="dxa" w:w="2880"/>
          </w:tcPr>
          <w:p>
            <w:r>
              <w:rPr>
                <w:sz w:val="18"/>
              </w:rPr>
              <w:t>Identify misleading claims and quantify greenwashing risk.</w:t>
            </w:r>
          </w:p>
        </w:tc>
        <w:tc>
          <w:tcPr>
            <w:tcW w:type="dxa" w:w="2880"/>
          </w:tcPr>
          <w:p>
            <w:r>
              <w:rPr>
                <w:sz w:val="18"/>
              </w:rPr>
              <w:t>Instruction / Answer</w:t>
            </w:r>
          </w:p>
        </w:tc>
      </w:tr>
      <w:tr>
        <w:tc>
          <w:tcPr>
            <w:tcW w:type="dxa" w:w="2880"/>
          </w:tcPr>
          <w:p>
            <w:r>
              <w:rPr>
                <w:sz w:val="18"/>
              </w:rPr>
              <w:t>Standard Alignment Expert</w:t>
            </w:r>
          </w:p>
        </w:tc>
        <w:tc>
          <w:tcPr>
            <w:tcW w:type="dxa" w:w="2880"/>
          </w:tcPr>
          <w:p>
            <w:r>
              <w:rPr>
                <w:sz w:val="18"/>
              </w:rPr>
              <w:t>Identify followed standards (GRI, TCFD, SASB, etc.) and compliance gaps.</w:t>
            </w:r>
          </w:p>
        </w:tc>
        <w:tc>
          <w:tcPr>
            <w:tcW w:type="dxa" w:w="2880"/>
          </w:tcPr>
          <w:p>
            <w:r>
              <w:rPr>
                <w:sz w:val="18"/>
              </w:rPr>
              <w:t>Instruction / Answer</w:t>
            </w:r>
          </w:p>
        </w:tc>
      </w:tr>
      <w:tr>
        <w:tc>
          <w:tcPr>
            <w:tcW w:type="dxa" w:w="2880"/>
          </w:tcPr>
          <w:p>
            <w:r>
              <w:rPr>
                <w:sz w:val="18"/>
              </w:rPr>
              <w:t>Knowledge Graph Expert</w:t>
            </w:r>
          </w:p>
        </w:tc>
        <w:tc>
          <w:tcPr>
            <w:tcW w:type="dxa" w:w="2880"/>
          </w:tcPr>
          <w:p>
            <w:r>
              <w:rPr>
                <w:sz w:val="18"/>
              </w:rPr>
              <w:t>Extract entities and relations; detect broken commitment–action links.</w:t>
            </w:r>
          </w:p>
        </w:tc>
        <w:tc>
          <w:tcPr>
            <w:tcW w:type="dxa" w:w="2880"/>
          </w:tcPr>
          <w:p>
            <w:r>
              <w:rPr>
                <w:sz w:val="18"/>
              </w:rPr>
              <w:t>Instruction / Answer</w:t>
            </w:r>
          </w:p>
        </w:tc>
      </w:tr>
      <w:tr>
        <w:tc>
          <w:tcPr>
            <w:tcW w:type="dxa" w:w="2880"/>
          </w:tcPr>
          <w:p>
            <w:r>
              <w:rPr>
                <w:sz w:val="18"/>
              </w:rPr>
              <w:t>Consistency Verification Expert</w:t>
            </w:r>
          </w:p>
        </w:tc>
        <w:tc>
          <w:tcPr>
            <w:tcW w:type="dxa" w:w="2880"/>
          </w:tcPr>
          <w:p>
            <w:r>
              <w:rPr>
                <w:sz w:val="18"/>
              </w:rPr>
              <w:t>Detect data contradictions and selective disclosure patterns.</w:t>
            </w:r>
          </w:p>
        </w:tc>
        <w:tc>
          <w:tcPr>
            <w:tcW w:type="dxa" w:w="2880"/>
          </w:tcPr>
          <w:p>
            <w:r>
              <w:rPr>
                <w:sz w:val="18"/>
              </w:rPr>
              <w:t>Instruction / Answer</w:t>
            </w:r>
          </w:p>
        </w:tc>
      </w:tr>
    </w:tbl>
    <w:p>
      <w:pPr>
        <w:pStyle w:val="Heading2"/>
        <w:jc w:val="left"/>
      </w:pPr>
      <w:r>
        <w:t>A.3.6 MetaExpert Orchestrator</w:t>
      </w:r>
    </w:p>
    <w:p>
      <w:r>
        <w:t>The MetaExpert designs work instructions for subordinate experts, evaluates their outputs, and provides iterative feedback. Its prompt dynamically incorporates the target expert type, core topics, chunk preview, and collaboration context.</w:t>
      </w:r>
    </w:p>
    <w:p>
      <w:pPr>
        <w:spacing w:after="0" w:before="0"/>
        <w:ind w:left="288"/>
      </w:pPr>
      <w:r>
        <w:rPr>
          <w:rFonts w:ascii="Courier New" w:hAnsi="Courier New"/>
          <w:color w:val="333333"/>
          <w:sz w:val="18"/>
          <w:highlight w:val="yellow"/>
        </w:rPr>
        <w:t># Role</w:t>
      </w:r>
    </w:p>
    <w:p>
      <w:pPr>
        <w:spacing w:after="0" w:before="0"/>
        <w:ind w:left="288"/>
      </w:pPr>
      <w:r>
        <w:rPr>
          <w:rFonts w:ascii="Courier New" w:hAnsi="Courier New"/>
          <w:color w:val="333333"/>
          <w:sz w:val="18"/>
          <w:highlight w:val="yellow"/>
        </w:rPr>
        <w:t>You are a top carbon-strategy analyst. Your task is to evaluate all</w:t>
      </w:r>
    </w:p>
    <w:p>
      <w:pPr>
        <w:spacing w:after="0" w:before="0"/>
        <w:ind w:left="288"/>
      </w:pPr>
      <w:r>
        <w:rPr>
          <w:rFonts w:ascii="Courier New" w:hAnsi="Courier New"/>
          <w:color w:val="333333"/>
          <w:sz w:val="18"/>
          <w:highlight w:val="yellow"/>
        </w:rPr>
        <w:t>information related to the company's carbon emissions and carbon-reduction</w:t>
      </w:r>
    </w:p>
    <w:p>
      <w:pPr>
        <w:spacing w:after="0" w:before="0"/>
        <w:ind w:left="288"/>
      </w:pPr>
      <w:r>
        <w:rPr>
          <w:rFonts w:ascii="Courier New" w:hAnsi="Courier New"/>
          <w:color w:val="333333"/>
          <w:sz w:val="18"/>
          <w:highlight w:val="yellow"/>
        </w:rPr>
        <w:t>commitments. Now design one work instruction for a subordinate analyst.</w:t>
      </w:r>
    </w:p>
    <w:p>
      <w:pPr>
        <w:spacing w:after="0" w:before="0"/>
        <w:ind w:left="288"/>
      </w:pPr>
      <w:r>
        <w:rPr>
          <w:rFonts w:ascii="Courier New" w:hAnsi="Courier New"/>
          <w:color w:val="333333"/>
          <w:sz w:val="18"/>
          <w:highlight w:val="yellow"/>
        </w:rPr>
      </w:r>
    </w:p>
    <w:p>
      <w:pPr>
        <w:spacing w:after="0" w:before="0"/>
        <w:ind w:left="288"/>
      </w:pPr>
      <w:r>
        <w:rPr>
          <w:rFonts w:ascii="Courier New" w:hAnsi="Courier New"/>
          <w:color w:val="333333"/>
          <w:sz w:val="18"/>
          <w:highlight w:val="yellow"/>
        </w:rPr>
        <w:t># Context</w:t>
      </w:r>
    </w:p>
    <w:p>
      <w:pPr>
        <w:spacing w:after="0" w:before="0"/>
        <w:ind w:left="288"/>
      </w:pPr>
      <w:r>
        <w:rPr>
          <w:rFonts w:ascii="Courier New" w:hAnsi="Courier New"/>
          <w:color w:val="333333"/>
          <w:sz w:val="18"/>
          <w:highlight w:val="yellow"/>
        </w:rPr>
        <w:t>- Subordinate role: {expert_type} ({expert_desc})</w:t>
      </w:r>
    </w:p>
    <w:p>
      <w:pPr>
        <w:spacing w:after="0" w:before="0"/>
        <w:ind w:left="288"/>
      </w:pPr>
      <w:r>
        <w:rPr>
          <w:rFonts w:ascii="Courier New" w:hAnsi="Courier New"/>
          <w:color w:val="333333"/>
          <w:sz w:val="18"/>
          <w:highlight w:val="yellow"/>
        </w:rPr>
        <w:t>- Chunk is from report section [{section_name}]</w:t>
      </w:r>
    </w:p>
    <w:p>
      <w:pPr>
        <w:spacing w:after="0" w:before="0"/>
        <w:ind w:left="288"/>
      </w:pPr>
      <w:r>
        <w:rPr>
          <w:rFonts w:ascii="Courier New" w:hAnsi="Courier New"/>
          <w:color w:val="333333"/>
          <w:sz w:val="18"/>
          <w:highlight w:val="yellow"/>
        </w:rPr>
        <w:t>- Core topics: {topics_str}</w:t>
      </w:r>
    </w:p>
    <w:p>
      <w:pPr>
        <w:spacing w:after="0" w:before="0"/>
        <w:ind w:left="288"/>
      </w:pPr>
      <w:r>
        <w:rPr>
          <w:rFonts w:ascii="Courier New" w:hAnsi="Courier New"/>
          <w:color w:val="333333"/>
          <w:sz w:val="18"/>
          <w:highlight w:val="yellow"/>
        </w:rPr>
        <w:t>- Preview: {chunk_text[:500]}...</w:t>
      </w:r>
    </w:p>
    <w:p>
      <w:pPr>
        <w:spacing w:after="0" w:before="0"/>
        <w:ind w:left="288"/>
      </w:pPr>
      <w:r>
        <w:rPr>
          <w:rFonts w:ascii="Courier New" w:hAnsi="Courier New"/>
          <w:color w:val="333333"/>
          <w:sz w:val="18"/>
          <w:highlight w:val="yellow"/>
        </w:rPr>
        <w:t>- Collaboration: This run uses multiple experts: {all_experts}</w:t>
      </w:r>
    </w:p>
    <w:p>
      <w:pPr>
        <w:spacing w:after="0" w:before="0"/>
        <w:ind w:left="288"/>
      </w:pPr>
      <w:r>
        <w:rPr>
          <w:rFonts w:ascii="Courier New" w:hAnsi="Courier New"/>
          <w:color w:val="333333"/>
          <w:sz w:val="18"/>
          <w:highlight w:val="yellow"/>
        </w:rPr>
        <w:t xml:space="preserve">  Current expert: {expert_type}; Others: {other_experts}</w:t>
      </w:r>
    </w:p>
    <w:p>
      <w:pPr>
        <w:spacing w:after="0" w:before="0"/>
        <w:ind w:left="288"/>
      </w:pPr>
      <w:r>
        <w:rPr>
          <w:rFonts w:ascii="Courier New" w:hAnsi="Courier New"/>
          <w:color w:val="333333"/>
          <w:sz w:val="18"/>
          <w:highlight w:val="yellow"/>
        </w:rPr>
        <w:t xml:space="preserve">  Requirement: Your instruction should match {expert_type}'s role and</w:t>
      </w:r>
    </w:p>
    <w:p>
      <w:pPr>
        <w:spacing w:after="0" w:before="0"/>
        <w:ind w:left="288"/>
      </w:pPr>
      <w:r>
        <w:rPr>
          <w:rFonts w:ascii="Courier New" w:hAnsi="Courier New"/>
          <w:color w:val="333333"/>
          <w:sz w:val="18"/>
          <w:highlight w:val="yellow"/>
        </w:rPr>
        <w:t xml:space="preserve">  complement others (avoid duplication).</w:t>
      </w:r>
    </w:p>
    <w:p>
      <w:pPr>
        <w:spacing w:after="0" w:before="0"/>
        <w:ind w:left="288"/>
      </w:pPr>
      <w:r>
        <w:rPr>
          <w:rFonts w:ascii="Courier New" w:hAnsi="Courier New"/>
          <w:color w:val="333333"/>
          <w:sz w:val="18"/>
          <w:highlight w:val="yellow"/>
        </w:rPr>
      </w:r>
    </w:p>
    <w:p>
      <w:pPr>
        <w:spacing w:after="0" w:before="0"/>
        <w:ind w:left="288"/>
      </w:pPr>
      <w:r>
        <w:rPr>
          <w:rFonts w:ascii="Courier New" w:hAnsi="Courier New"/>
          <w:color w:val="333333"/>
          <w:sz w:val="18"/>
          <w:highlight w:val="yellow"/>
        </w:rPr>
        <w:t># Task</w:t>
      </w:r>
    </w:p>
    <w:p>
      <w:pPr>
        <w:spacing w:after="0" w:before="0"/>
        <w:ind w:left="288"/>
      </w:pPr>
      <w:r>
        <w:rPr>
          <w:rFonts w:ascii="Courier New" w:hAnsi="Courier New"/>
          <w:color w:val="333333"/>
          <w:sz w:val="18"/>
          <w:highlight w:val="yellow"/>
        </w:rPr>
        <w:t>Generate one work instruction for this analyst. The instruction must:</w:t>
      </w:r>
    </w:p>
    <w:p>
      <w:pPr>
        <w:spacing w:after="0" w:before="0"/>
        <w:ind w:left="288"/>
      </w:pPr>
      <w:r>
        <w:rPr>
          <w:rFonts w:ascii="Courier New" w:hAnsi="Courier New"/>
          <w:color w:val="333333"/>
          <w:sz w:val="18"/>
          <w:highlight w:val="yellow"/>
        </w:rPr>
        <w:t>1. Carbon-centric: lead to assessing carbon performance or commitment credibility.</w:t>
      </w:r>
    </w:p>
    <w:p>
      <w:pPr>
        <w:spacing w:after="0" w:before="0"/>
        <w:ind w:left="288"/>
      </w:pPr>
      <w:r>
        <w:rPr>
          <w:rFonts w:ascii="Courier New" w:hAnsi="Courier New"/>
          <w:color w:val="333333"/>
          <w:sz w:val="18"/>
          <w:highlight w:val="yellow"/>
        </w:rPr>
        <w:t>2. Cross-domain: use information in this chunk as evidence for carbon strategy.</w:t>
      </w:r>
    </w:p>
    <w:p>
      <w:pPr>
        <w:spacing w:after="0" w:before="0"/>
        <w:ind w:left="288"/>
      </w:pPr>
      <w:r>
        <w:rPr>
          <w:rFonts w:ascii="Courier New" w:hAnsi="Courier New"/>
          <w:color w:val="333333"/>
          <w:sz w:val="18"/>
          <w:highlight w:val="yellow"/>
        </w:rPr>
        <w:t>3. Depth: guide the analyst to compare, evaluate, predict, or critique</w:t>
      </w:r>
    </w:p>
    <w:p>
      <w:pPr>
        <w:spacing w:after="0" w:before="0"/>
        <w:ind w:left="288"/>
      </w:pPr>
      <w:r>
        <w:rPr>
          <w:rFonts w:ascii="Courier New" w:hAnsi="Courier New"/>
          <w:color w:val="333333"/>
          <w:sz w:val="18"/>
          <w:highlight w:val="yellow"/>
        </w:rPr>
        <w:t xml:space="preserve">   -- not just extract.</w:t>
      </w:r>
    </w:p>
    <w:p>
      <w:pPr>
        <w:spacing w:after="0" w:before="0"/>
        <w:ind w:left="288"/>
      </w:pPr>
      <w:r>
        <w:rPr>
          <w:rFonts w:ascii="Courier New" w:hAnsi="Courier New"/>
          <w:color w:val="333333"/>
          <w:sz w:val="18"/>
          <w:highlight w:val="yellow"/>
        </w:rPr>
      </w:r>
    </w:p>
    <w:p>
      <w:pPr>
        <w:spacing w:after="0" w:before="0"/>
        <w:ind w:left="288"/>
      </w:pPr>
      <w:r>
        <w:rPr>
          <w:rFonts w:ascii="Courier New" w:hAnsi="Courier New"/>
          <w:color w:val="333333"/>
          <w:sz w:val="18"/>
          <w:highlight w:val="yellow"/>
        </w:rPr>
        <w:t># Output</w:t>
      </w:r>
    </w:p>
    <w:p>
      <w:pPr>
        <w:spacing w:after="0" w:before="0"/>
        <w:ind w:left="288"/>
      </w:pPr>
      <w:r>
        <w:rPr>
          <w:rFonts w:ascii="Courier New" w:hAnsi="Courier New"/>
          <w:color w:val="333333"/>
          <w:sz w:val="18"/>
          <w:highlight w:val="yellow"/>
        </w:rPr>
        <w:t>Work instruction:</w:t>
      </w:r>
    </w:p>
    <w:p/>
    <w:p>
      <w:r>
        <w:rPr>
          <w:b/>
        </w:rPr>
        <w:t xml:space="preserve">Feedback round. </w:t>
      </w:r>
      <w:r>
        <w:t>After receiving the expert's output, the MetaExpert runs a quality-assessment prompt (not shown for brevity) that scores correctness, completeness, relevance, and structure on a 0–1 scale. If any dimension falls below threshold, a refined work instruction is generated and the expert re-executes, up to R=2 rounds.</w:t>
      </w:r>
    </w:p>
    <w:p>
      <w:r>
        <w:br w:type="page"/>
      </w:r>
    </w:p>
    <w:p>
      <w:pPr>
        <w:pStyle w:val="Heading1"/>
        <w:jc w:val="left"/>
      </w:pPr>
      <w:r>
        <w:t>A.4 Hyperparameters</w:t>
      </w:r>
    </w:p>
    <w:p>
      <w:r>
        <w:t>Table 3 lists all fixed hyperparameters used in the experiments. All random sampling steps use random.seed(42).</w:t>
      </w:r>
    </w:p>
    <w:tbl>
      <w:tblPr>
        <w:tblStyle w:val="TableGrid"/>
        <w:tblW w:type="auto" w:w="0"/>
        <w:tblLook w:firstColumn="1" w:firstRow="1" w:lastColumn="0" w:lastRow="0" w:noHBand="0" w:noVBand="1" w:val="04A0"/>
      </w:tblPr>
      <w:tblGrid>
        <w:gridCol w:w="2880"/>
        <w:gridCol w:w="2880"/>
        <w:gridCol w:w="2880"/>
      </w:tblGrid>
      <w:tr>
        <w:tc>
          <w:tcPr>
            <w:tcW w:type="dxa" w:w="2880"/>
            <w:shd w:fill="E7E6E6"/>
          </w:tcPr>
          <w:p>
            <w:r>
              <w:rPr>
                <w:b/>
                <w:sz w:val="18"/>
              </w:rPr>
              <w:t>Parameter</w:t>
            </w:r>
          </w:p>
        </w:tc>
        <w:tc>
          <w:tcPr>
            <w:tcW w:type="dxa" w:w="2880"/>
            <w:shd w:fill="E7E6E6"/>
          </w:tcPr>
          <w:p>
            <w:r>
              <w:rPr>
                <w:b/>
                <w:sz w:val="18"/>
              </w:rPr>
              <w:t>Value</w:t>
            </w:r>
          </w:p>
        </w:tc>
        <w:tc>
          <w:tcPr>
            <w:tcW w:type="dxa" w:w="2880"/>
            <w:shd w:fill="E7E6E6"/>
          </w:tcPr>
          <w:p>
            <w:r>
              <w:rPr>
                <w:b/>
                <w:sz w:val="18"/>
              </w:rPr>
              <w:t>Source File</w:t>
            </w:r>
          </w:p>
        </w:tc>
      </w:tr>
      <w:tr>
        <w:tc>
          <w:tcPr>
            <w:tcW w:type="dxa" w:w="2880"/>
          </w:tcPr>
          <w:p>
            <w:r>
              <w:rPr>
                <w:sz w:val="18"/>
              </w:rPr>
              <w:t>Base model</w:t>
            </w:r>
          </w:p>
        </w:tc>
        <w:tc>
          <w:tcPr>
            <w:tcW w:type="dxa" w:w="2880"/>
          </w:tcPr>
          <w:p>
            <w:r>
              <w:rPr>
                <w:sz w:val="18"/>
              </w:rPr>
              <w:t>Qwen2-72B-Instruct</w:t>
            </w:r>
          </w:p>
        </w:tc>
        <w:tc>
          <w:tcPr>
            <w:tcW w:type="dxa" w:w="2880"/>
          </w:tcPr>
          <w:p>
            <w:r>
              <w:rPr>
                <w:sz w:val="18"/>
              </w:rPr>
              <w:t>configs/config.yaml</w:t>
            </w:r>
          </w:p>
        </w:tc>
      </w:tr>
      <w:tr>
        <w:tc>
          <w:tcPr>
            <w:tcW w:type="dxa" w:w="2880"/>
          </w:tcPr>
          <w:p>
            <w:r>
              <w:rPr>
                <w:sz w:val="18"/>
              </w:rPr>
              <w:t>Quantization</w:t>
            </w:r>
          </w:p>
        </w:tc>
        <w:tc>
          <w:tcPr>
            <w:tcW w:type="dxa" w:w="2880"/>
          </w:tcPr>
          <w:p>
            <w:r>
              <w:rPr>
                <w:sz w:val="18"/>
              </w:rPr>
              <w:t>4-bit (NF4)</w:t>
            </w:r>
          </w:p>
        </w:tc>
        <w:tc>
          <w:tcPr>
            <w:tcW w:type="dxa" w:w="2880"/>
          </w:tcPr>
          <w:p>
            <w:r>
              <w:rPr>
                <w:sz w:val="18"/>
              </w:rPr>
              <w:t>Unsloth default</w:t>
            </w:r>
          </w:p>
        </w:tc>
      </w:tr>
      <w:tr>
        <w:tc>
          <w:tcPr>
            <w:tcW w:type="dxa" w:w="2880"/>
          </w:tcPr>
          <w:p>
            <w:r>
              <w:rPr>
                <w:sz w:val="18"/>
              </w:rPr>
              <w:t>Temperature</w:t>
            </w:r>
          </w:p>
        </w:tc>
        <w:tc>
          <w:tcPr>
            <w:tcW w:type="dxa" w:w="2880"/>
          </w:tcPr>
          <w:p>
            <w:r>
              <w:rPr>
                <w:sz w:val="18"/>
              </w:rPr>
              <w:t>0.7</w:t>
            </w:r>
          </w:p>
        </w:tc>
        <w:tc>
          <w:tcPr>
            <w:tcW w:type="dxa" w:w="2880"/>
          </w:tcPr>
          <w:p>
            <w:r>
              <w:rPr>
                <w:sz w:val="18"/>
              </w:rPr>
              <w:t>coe_framework_02_03.py</w:t>
            </w:r>
          </w:p>
        </w:tc>
      </w:tr>
      <w:tr>
        <w:tc>
          <w:tcPr>
            <w:tcW w:type="dxa" w:w="2880"/>
          </w:tcPr>
          <w:p>
            <w:r>
              <w:rPr>
                <w:sz w:val="18"/>
              </w:rPr>
              <w:t>Max new tokens (instruction)</w:t>
            </w:r>
          </w:p>
        </w:tc>
        <w:tc>
          <w:tcPr>
            <w:tcW w:type="dxa" w:w="2880"/>
          </w:tcPr>
          <w:p>
            <w:r>
              <w:rPr>
                <w:sz w:val="18"/>
              </w:rPr>
              <w:t>512</w:t>
            </w:r>
          </w:p>
        </w:tc>
        <w:tc>
          <w:tcPr>
            <w:tcW w:type="dxa" w:w="2880"/>
          </w:tcPr>
          <w:p>
            <w:r>
              <w:rPr>
                <w:sz w:val="18"/>
              </w:rPr>
              <w:t>---</w:t>
            </w:r>
          </w:p>
        </w:tc>
      </w:tr>
      <w:tr>
        <w:tc>
          <w:tcPr>
            <w:tcW w:type="dxa" w:w="2880"/>
          </w:tcPr>
          <w:p>
            <w:r>
              <w:rPr>
                <w:sz w:val="18"/>
              </w:rPr>
              <w:t>Max new tokens (response)</w:t>
            </w:r>
          </w:p>
        </w:tc>
        <w:tc>
          <w:tcPr>
            <w:tcW w:type="dxa" w:w="2880"/>
          </w:tcPr>
          <w:p>
            <w:r>
              <w:rPr>
                <w:sz w:val="18"/>
              </w:rPr>
              <w:t>1,024</w:t>
            </w:r>
          </w:p>
        </w:tc>
        <w:tc>
          <w:tcPr>
            <w:tcW w:type="dxa" w:w="2880"/>
          </w:tcPr>
          <w:p>
            <w:r>
              <w:rPr>
                <w:sz w:val="18"/>
              </w:rPr>
              <w:t>---</w:t>
            </w:r>
          </w:p>
        </w:tc>
      </w:tr>
      <w:tr>
        <w:tc>
          <w:tcPr>
            <w:tcW w:type="dxa" w:w="2880"/>
          </w:tcPr>
          <w:p>
            <w:r>
              <w:rPr>
                <w:sz w:val="18"/>
              </w:rPr>
              <w:t>Chunk size</w:t>
            </w:r>
          </w:p>
        </w:tc>
        <w:tc>
          <w:tcPr>
            <w:tcW w:type="dxa" w:w="2880"/>
          </w:tcPr>
          <w:p>
            <w:r>
              <w:rPr>
                <w:sz w:val="18"/>
              </w:rPr>
              <w:t>2,000 chars</w:t>
            </w:r>
          </w:p>
        </w:tc>
        <w:tc>
          <w:tcPr>
            <w:tcW w:type="dxa" w:w="2880"/>
          </w:tcPr>
          <w:p>
            <w:r>
              <w:rPr>
                <w:sz w:val="18"/>
              </w:rPr>
              <w:t>text_chunker_01_03.py</w:t>
            </w:r>
          </w:p>
        </w:tc>
      </w:tr>
      <w:tr>
        <w:tc>
          <w:tcPr>
            <w:tcW w:type="dxa" w:w="2880"/>
          </w:tcPr>
          <w:p>
            <w:r>
              <w:rPr>
                <w:sz w:val="18"/>
              </w:rPr>
              <w:t>Chunk overlap</w:t>
            </w:r>
          </w:p>
        </w:tc>
        <w:tc>
          <w:tcPr>
            <w:tcW w:type="dxa" w:w="2880"/>
          </w:tcPr>
          <w:p>
            <w:r>
              <w:rPr>
                <w:sz w:val="18"/>
              </w:rPr>
              <w:t>200 chars</w:t>
            </w:r>
          </w:p>
        </w:tc>
        <w:tc>
          <w:tcPr>
            <w:tcW w:type="dxa" w:w="2880"/>
          </w:tcPr>
          <w:p>
            <w:r>
              <w:rPr>
                <w:sz w:val="18"/>
              </w:rPr>
              <w:t>text_chunker_01_03.py</w:t>
            </w:r>
          </w:p>
        </w:tc>
      </w:tr>
      <w:tr>
        <w:tc>
          <w:tcPr>
            <w:tcW w:type="dxa" w:w="2880"/>
          </w:tcPr>
          <w:p>
            <w:r>
              <w:rPr>
                <w:sz w:val="18"/>
              </w:rPr>
              <w:t>Expert selection threshold</w:t>
            </w:r>
          </w:p>
        </w:tc>
        <w:tc>
          <w:tcPr>
            <w:tcW w:type="dxa" w:w="2880"/>
          </w:tcPr>
          <w:p>
            <w:r>
              <w:rPr>
                <w:sz w:val="18"/>
              </w:rPr>
              <w:t>0.5</w:t>
            </w:r>
          </w:p>
        </w:tc>
        <w:tc>
          <w:tcPr>
            <w:tcW w:type="dxa" w:w="2880"/>
          </w:tcPr>
          <w:p>
            <w:r>
              <w:rPr>
                <w:sz w:val="18"/>
              </w:rPr>
              <w:t>expert_selector_02_01.py</w:t>
            </w:r>
          </w:p>
        </w:tc>
      </w:tr>
      <w:tr>
        <w:tc>
          <w:tcPr>
            <w:tcW w:type="dxa" w:w="2880"/>
          </w:tcPr>
          <w:p>
            <w:r>
              <w:rPr>
                <w:sz w:val="18"/>
              </w:rPr>
              <w:t>Collaboration mode</w:t>
            </w:r>
          </w:p>
        </w:tc>
        <w:tc>
          <w:tcPr>
            <w:tcW w:type="dxa" w:w="2880"/>
          </w:tcPr>
          <w:p>
            <w:r>
              <w:rPr>
                <w:sz w:val="18"/>
              </w:rPr>
              <w:t>parallel / sequential</w:t>
            </w:r>
          </w:p>
        </w:tc>
        <w:tc>
          <w:tcPr>
            <w:tcW w:type="dxa" w:w="2880"/>
          </w:tcPr>
          <w:p>
            <w:r>
              <w:rPr>
                <w:sz w:val="18"/>
              </w:rPr>
              <w:t>coe_framework_02_03.py</w:t>
            </w:r>
          </w:p>
        </w:tc>
      </w:tr>
      <w:tr>
        <w:tc>
          <w:tcPr>
            <w:tcW w:type="dxa" w:w="2880"/>
          </w:tcPr>
          <w:p>
            <w:r>
              <w:rPr>
                <w:sz w:val="18"/>
              </w:rPr>
              <w:t>Feedback rounds (R)</w:t>
            </w:r>
          </w:p>
        </w:tc>
        <w:tc>
          <w:tcPr>
            <w:tcW w:type="dxa" w:w="2880"/>
          </w:tcPr>
          <w:p>
            <w:r>
              <w:rPr>
                <w:sz w:val="18"/>
              </w:rPr>
              <w:t>2 (default)</w:t>
            </w:r>
          </w:p>
        </w:tc>
        <w:tc>
          <w:tcPr>
            <w:tcW w:type="dxa" w:w="2880"/>
          </w:tcPr>
          <w:p>
            <w:r>
              <w:rPr>
                <w:sz w:val="18"/>
              </w:rPr>
              <w:t>meta_expert_02_09.py</w:t>
            </w:r>
          </w:p>
        </w:tc>
      </w:tr>
      <w:tr>
        <w:tc>
          <w:tcPr>
            <w:tcW w:type="dxa" w:w="2880"/>
          </w:tcPr>
          <w:p>
            <w:r>
              <w:rPr>
                <w:sz w:val="18"/>
              </w:rPr>
              <w:t>Quality threshold (accept)</w:t>
            </w:r>
          </w:p>
        </w:tc>
        <w:tc>
          <w:tcPr>
            <w:tcW w:type="dxa" w:w="2880"/>
          </w:tcPr>
          <w:p>
            <w:r>
              <w:rPr>
                <w:sz w:val="18"/>
              </w:rPr>
              <w:t>0.6</w:t>
            </w:r>
          </w:p>
        </w:tc>
        <w:tc>
          <w:tcPr>
            <w:tcW w:type="dxa" w:w="2880"/>
          </w:tcPr>
          <w:p>
            <w:r>
              <w:rPr>
                <w:sz w:val="18"/>
              </w:rPr>
              <w:t>meta_expert_02_09.py</w:t>
            </w:r>
          </w:p>
        </w:tc>
      </w:tr>
      <w:tr>
        <w:tc>
          <w:tcPr>
            <w:tcW w:type="dxa" w:w="2880"/>
          </w:tcPr>
          <w:p>
            <w:r>
              <w:rPr>
                <w:sz w:val="18"/>
              </w:rPr>
              <w:t>Knowledge items per chunk</w:t>
            </w:r>
          </w:p>
        </w:tc>
        <w:tc>
          <w:tcPr>
            <w:tcW w:type="dxa" w:w="2880"/>
          </w:tcPr>
          <w:p>
            <w:r>
              <w:rPr>
                <w:sz w:val="18"/>
              </w:rPr>
              <w:t>up to 5</w:t>
            </w:r>
          </w:p>
        </w:tc>
        <w:tc>
          <w:tcPr>
            <w:tcW w:type="dxa" w:w="2880"/>
          </w:tcPr>
          <w:p>
            <w:r>
              <w:rPr>
                <w:sz w:val="18"/>
              </w:rPr>
              <w:t>domain_knowledge_02_02.py</w:t>
            </w:r>
          </w:p>
        </w:tc>
      </w:tr>
      <w:tr>
        <w:tc>
          <w:tcPr>
            <w:tcW w:type="dxa" w:w="2880"/>
          </w:tcPr>
          <w:p>
            <w:r>
              <w:rPr>
                <w:sz w:val="18"/>
              </w:rPr>
              <w:t>Evaluation sample size</w:t>
            </w:r>
          </w:p>
        </w:tc>
        <w:tc>
          <w:tcPr>
            <w:tcW w:type="dxa" w:w="2880"/>
          </w:tcPr>
          <w:p>
            <w:r>
              <w:rPr>
                <w:sz w:val="18"/>
              </w:rPr>
              <w:t>2,000 pairs</w:t>
            </w:r>
          </w:p>
        </w:tc>
        <w:tc>
          <w:tcPr>
            <w:tcW w:type="dxa" w:w="2880"/>
          </w:tcPr>
          <w:p>
            <w:r>
              <w:rPr>
                <w:sz w:val="18"/>
              </w:rPr>
              <w:t>intrinsic_evaluation_03_03.py</w:t>
            </w:r>
          </w:p>
        </w:tc>
      </w:tr>
      <w:tr>
        <w:tc>
          <w:tcPr>
            <w:tcW w:type="dxa" w:w="2880"/>
          </w:tcPr>
          <w:p>
            <w:r>
              <w:rPr>
                <w:sz w:val="18"/>
              </w:rPr>
              <w:t>Random seed</w:t>
            </w:r>
          </w:p>
        </w:tc>
        <w:tc>
          <w:tcPr>
            <w:tcW w:type="dxa" w:w="2880"/>
          </w:tcPr>
          <w:p>
            <w:r>
              <w:rPr>
                <w:sz w:val="18"/>
              </w:rPr>
              <w:t>42</w:t>
            </w:r>
          </w:p>
        </w:tc>
        <w:tc>
          <w:tcPr>
            <w:tcW w:type="dxa" w:w="2880"/>
          </w:tcPr>
          <w:p>
            <w:r>
              <w:rPr>
                <w:sz w:val="18"/>
              </w:rPr>
              <w:t>All sampling steps</w:t>
            </w:r>
          </w:p>
        </w:tc>
      </w:tr>
    </w:tbl>
    <w:p>
      <w:r>
        <w:br w:type="page"/>
      </w:r>
    </w:p>
    <w:p>
      <w:pPr>
        <w:pStyle w:val="Heading1"/>
        <w:jc w:val="left"/>
      </w:pPr>
      <w:r>
        <w:t>A.5 Expert Selection Logic</w:t>
      </w:r>
    </w:p>
    <w:p>
      <w:r>
        <w:t>Expert selection is performed by a rule-based feature extractor (expert_selector_02_01.py) that scores each chunk against predefined feature patterns. No LLM is invoked during selection; the process is fully deterministic.</w:t>
      </w:r>
    </w:p>
    <w:p>
      <w:pPr>
        <w:pStyle w:val="ListNumber"/>
        <w:spacing w:after="60"/>
      </w:pPr>
      <w:r>
        <w:rPr>
          <w:sz w:val="20"/>
        </w:rPr>
        <w:t>Feature extraction. The chunk is analyzed for: keyword presence (carbon, emission, energy, employee, training, governance, etc.); numerical data density (counts, percentages, monetary values); temporal markers (years, quarters, "since", "by 20xx"); standard references (GRI, TCFD, SASB, ISO 14001, CDP); comparative language ("higher than", "below average", "ranked"); entity types (company names, plant locations, regulatory bodies).</w:t>
      </w:r>
    </w:p>
    <w:p>
      <w:pPr>
        <w:pStyle w:val="ListNumber"/>
        <w:spacing w:after="60"/>
      </w:pPr>
      <w:r>
        <w:rPr>
          <w:sz w:val="20"/>
        </w:rPr>
        <w:t>Expert scoring. Each of the 11 expert types defines a scoring function s_i(chunk) in [0,1] based on its target features. For example: TemporalAnalysisExpert gets a high score if temporal markers &gt;= 2 and numerical trends are present; GreenwashingDetectionExpert gets a high score if vague-commitment keywords and selective-disclosure patterns are detected; KnowledgeGraphExpert gets a high score if entity count &gt;= 5 and relation verbs are present.</w:t>
      </w:r>
    </w:p>
    <w:p>
      <w:pPr>
        <w:pStyle w:val="ListNumber"/>
        <w:spacing w:after="60"/>
      </w:pPr>
      <w:r>
        <w:rPr>
          <w:sz w:val="20"/>
        </w:rPr>
        <w:t>Thresholding. Experts with s_i &gt;= 0.5 are selected. If no expert meets the threshold, the fallback QAExpert is assigned.</w:t>
      </w:r>
    </w:p>
    <w:p>
      <w:pPr>
        <w:pStyle w:val="ListNumber"/>
        <w:spacing w:after="60"/>
      </w:pPr>
      <w:r>
        <w:rPr>
          <w:sz w:val="20"/>
        </w:rPr>
        <w:t>Collaboration mode. If |{s_i &gt;= 0.5}| &gt;= 2, parallel collaboration is used; otherwise sequential.</w:t>
      </w:r>
    </w:p>
    <w:p>
      <w:r>
        <w:rPr>
          <w:b/>
        </w:rPr>
        <w:t xml:space="preserve">MetaExpert override. </w:t>
      </w:r>
      <w:r>
        <w:t>After expert selection, the MetaExpert may dynamically adjust the assignment based on core topics extracted from the chunk. This override is rare (&lt;5% of chunks) and logged in metadata.</w:t>
      </w:r>
    </w:p>
    <w:p>
      <w:r>
        <w:br w:type="page"/>
      </w:r>
    </w:p>
    <w:p>
      <w:pPr>
        <w:pStyle w:val="Heading1"/>
        <w:jc w:val="left"/>
      </w:pPr>
      <w:r>
        <w:t>A.6 Error Analysis</w:t>
      </w:r>
    </w:p>
    <w:p>
      <w:r>
        <w:t>To illustrate the quality spectrum of VeritasCarbon-ESG-35K, we present representative examples drawn from the 2,000-pair sample. The quality score is a composite metric (correctness 0.4, completeness 0.3, relevance 0.2, structure 0.1) assigned by the MetaExpert.</w:t>
      </w:r>
    </w:p>
    <w:p>
      <w:pPr>
        <w:pStyle w:val="Heading2"/>
        <w:jc w:val="left"/>
      </w:pPr>
      <w:r>
        <w:t>A.6.1 High-Quality Example (Score 0.915)</w:t>
      </w:r>
    </w:p>
    <w:p>
      <w:r>
        <w:rPr>
          <w:b/>
        </w:rPr>
        <w:t xml:space="preserve">Assigned experts: </w:t>
      </w:r>
      <w:r>
        <w:t>Summary Expert + Consistency Verification Expert</w:t>
      </w:r>
    </w:p>
    <w:p>
      <w:r>
        <w:rPr>
          <w:b/>
        </w:rPr>
        <w:t xml:space="preserve">Instruction: </w:t>
      </w:r>
      <w:r>
        <w:t>Generate a summary about the 2024–2025 A-share ESG fund issuance trends, listed companies' information disclosure quality, carbon-risk considerations in investment decisions, corporate carbon-emission management progress, ESG evaluation-system effectiveness, and the potential of China's ESG market to promote green transformation.</w:t>
      </w:r>
    </w:p>
    <w:p>
      <w:r>
        <w:rPr>
          <w:b/>
        </w:rPr>
        <w:t xml:space="preserve">Answer: </w:t>
      </w:r>
      <w:r>
        <w:t>Since 2024, A-share ESG public fund issuance has reached approximately 216 billion yuan. Although the issuance pace has slowed, 18 new funds were still issued from Q4 to Q3 of the following year. The industry's overall scale has rebounded against the trend, showing a structural shift from quantity expansion to quality improvement. Under the dual-wheel drive of policy and market, China's ESG market is gradually maturing, with carbon-risk considerations becoming an important factor in investment decisions.</w:t>
      </w:r>
    </w:p>
    <w:p>
      <w:r>
        <w:rPr>
          <w:b/>
        </w:rPr>
        <w:t xml:space="preserve">Why it scores high: </w:t>
      </w:r>
      <w:r>
        <w:t>The instruction demands multi-faceted synthesis (funds, disclosure, carbon risk, evaluation systems), and the answer integrates quantitative evidence (216B yuan, 18 funds) with qualitative assessment (structural shift, maturing market). The Consistency Verification Expert cross-checks that fund-scale figures are internally coherent.</w:t>
      </w:r>
    </w:p>
    <w:p>
      <w:pPr>
        <w:pStyle w:val="Heading2"/>
        <w:jc w:val="left"/>
      </w:pPr>
      <w:r>
        <w:t>A.6.2 Low-Quality Example (Score 0.000)</w:t>
      </w:r>
    </w:p>
    <w:p>
      <w:r>
        <w:rPr>
          <w:b/>
        </w:rPr>
        <w:t xml:space="preserve">Assigned experts: </w:t>
      </w:r>
      <w:r>
        <w:t>Summary Expert</w:t>
      </w:r>
    </w:p>
    <w:p>
      <w:r>
        <w:rPr>
          <w:b/>
        </w:rPr>
        <w:t xml:space="preserve">Instruction: </w:t>
      </w:r>
      <w:r>
        <w:t>Generate a summary for the following text.</w:t>
      </w:r>
    </w:p>
    <w:p>
      <w:r>
        <w:rPr>
          <w:b/>
        </w:rPr>
        <w:t xml:space="preserve">Answer: </w:t>
      </w:r>
      <w:r>
        <w:t>This article aims to analyze how ESG information disclosure affects employees' green innovation efficiency and its role in promoting companies' real carbon-reduction commitments. Special attention is paid to identifying and criticizing potential "greenwashing" behavior, i.e., phenomena where companies superficially promote environmental measures without taking substantive action. In addition, the article...</w:t>
      </w:r>
    </w:p>
    <w:p>
      <w:r>
        <w:rPr>
          <w:b/>
        </w:rPr>
        <w:t xml:space="preserve">Why it scores low: </w:t>
      </w:r>
      <w:r>
        <w:t>The output is a generic abstract of the source text rather than a task-oriented instruction–response pair. The "instruction" is merely "generate a summary," and the "answer" restates the paper's purpose without concrete data or analysis. This pattern occurs when the MetaExpert's work instruction is too vague and no second expert is assigned to refine depth.</w:t>
      </w:r>
    </w:p>
    <w:p>
      <w:pPr>
        <w:pStyle w:val="Heading2"/>
        <w:jc w:val="left"/>
      </w:pPr>
      <w:r>
        <w:t>A.6.3 Key Failure Patterns</w:t>
      </w:r>
    </w:p>
    <w:p>
      <w:r>
        <w:t>Table 4 summarizes the most common failure modes observed in the bottom-decile records.</w:t>
      </w:r>
    </w:p>
    <w:tbl>
      <w:tblPr>
        <w:tblStyle w:val="TableGrid"/>
        <w:tblW w:type="auto" w:w="0"/>
        <w:tblLook w:firstColumn="1" w:firstRow="1" w:lastColumn="0" w:lastRow="0" w:noHBand="0" w:noVBand="1" w:val="04A0"/>
      </w:tblPr>
      <w:tblGrid>
        <w:gridCol w:w="2880"/>
        <w:gridCol w:w="2880"/>
        <w:gridCol w:w="2880"/>
      </w:tblGrid>
      <w:tr>
        <w:tc>
          <w:tcPr>
            <w:tcW w:type="dxa" w:w="2880"/>
            <w:shd w:fill="E7E6E6"/>
          </w:tcPr>
          <w:p>
            <w:r>
              <w:rPr>
                <w:b/>
                <w:sz w:val="18"/>
              </w:rPr>
              <w:t>Pattern</w:t>
            </w:r>
          </w:p>
        </w:tc>
        <w:tc>
          <w:tcPr>
            <w:tcW w:type="dxa" w:w="2880"/>
            <w:shd w:fill="E7E6E6"/>
          </w:tcPr>
          <w:p>
            <w:r>
              <w:rPr>
                <w:b/>
                <w:sz w:val="18"/>
              </w:rPr>
              <w:t>Description</w:t>
            </w:r>
          </w:p>
        </w:tc>
        <w:tc>
          <w:tcPr>
            <w:tcW w:type="dxa" w:w="2880"/>
            <w:shd w:fill="E7E6E6"/>
          </w:tcPr>
          <w:p>
            <w:r>
              <w:rPr>
                <w:b/>
                <w:sz w:val="18"/>
              </w:rPr>
              <w:t>Typical Cause</w:t>
            </w:r>
          </w:p>
        </w:tc>
      </w:tr>
      <w:tr>
        <w:tc>
          <w:tcPr>
            <w:tcW w:type="dxa" w:w="2880"/>
          </w:tcPr>
          <w:p>
            <w:r>
              <w:rPr>
                <w:sz w:val="18"/>
              </w:rPr>
              <w:t>Generic summary</w:t>
            </w:r>
          </w:p>
        </w:tc>
        <w:tc>
          <w:tcPr>
            <w:tcW w:type="dxa" w:w="2880"/>
          </w:tcPr>
          <w:p>
            <w:r>
              <w:rPr>
                <w:sz w:val="18"/>
              </w:rPr>
              <w:t>Answer restates source abstract without task specificity.</w:t>
            </w:r>
          </w:p>
        </w:tc>
        <w:tc>
          <w:tcPr>
            <w:tcW w:type="dxa" w:w="2880"/>
          </w:tcPr>
          <w:p>
            <w:r>
              <w:rPr>
                <w:sz w:val="18"/>
              </w:rPr>
              <w:t>Single Summary Expert, no dynamic instruction.</w:t>
            </w:r>
          </w:p>
        </w:tc>
      </w:tr>
      <w:tr>
        <w:tc>
          <w:tcPr>
            <w:tcW w:type="dxa" w:w="2880"/>
          </w:tcPr>
          <w:p>
            <w:r>
              <w:rPr>
                <w:sz w:val="18"/>
              </w:rPr>
              <w:t>Vague instruction</w:t>
            </w:r>
          </w:p>
        </w:tc>
        <w:tc>
          <w:tcPr>
            <w:tcW w:type="dxa" w:w="2880"/>
          </w:tcPr>
          <w:p>
            <w:r>
              <w:rPr>
                <w:sz w:val="18"/>
              </w:rPr>
              <w:t>Instruction is a broad request ("analyze ESG").</w:t>
            </w:r>
          </w:p>
        </w:tc>
        <w:tc>
          <w:tcPr>
            <w:tcW w:type="dxa" w:w="2880"/>
          </w:tcPr>
          <w:p>
            <w:r>
              <w:rPr>
                <w:sz w:val="18"/>
              </w:rPr>
              <w:t>MetaExpert topics too generic.</w:t>
            </w:r>
          </w:p>
        </w:tc>
      </w:tr>
      <w:tr>
        <w:tc>
          <w:tcPr>
            <w:tcW w:type="dxa" w:w="2880"/>
          </w:tcPr>
          <w:p>
            <w:r>
              <w:rPr>
                <w:sz w:val="18"/>
              </w:rPr>
              <w:t>Missing evidence</w:t>
            </w:r>
          </w:p>
        </w:tc>
        <w:tc>
          <w:tcPr>
            <w:tcW w:type="dxa" w:w="2880"/>
          </w:tcPr>
          <w:p>
            <w:r>
              <w:rPr>
                <w:sz w:val="18"/>
              </w:rPr>
              <w:t>Claims lack concrete numbers or source citations.</w:t>
            </w:r>
          </w:p>
        </w:tc>
        <w:tc>
          <w:tcPr>
            <w:tcW w:type="dxa" w:w="2880"/>
          </w:tcPr>
          <w:p>
            <w:r>
              <w:rPr>
                <w:sz w:val="18"/>
              </w:rPr>
              <w:t>No Extraction/Benchmark Expert assigned.</w:t>
            </w:r>
          </w:p>
        </w:tc>
      </w:tr>
      <w:tr>
        <w:tc>
          <w:tcPr>
            <w:tcW w:type="dxa" w:w="2880"/>
          </w:tcPr>
          <w:p>
            <w:r>
              <w:rPr>
                <w:sz w:val="18"/>
              </w:rPr>
              <w:t>Self-reference</w:t>
            </w:r>
          </w:p>
        </w:tc>
        <w:tc>
          <w:tcPr>
            <w:tcW w:type="dxa" w:w="2880"/>
          </w:tcPr>
          <w:p>
            <w:r>
              <w:rPr>
                <w:sz w:val="18"/>
              </w:rPr>
              <w:t>Answer refers to "this article" or "the text."</w:t>
            </w:r>
          </w:p>
        </w:tc>
        <w:tc>
          <w:tcPr>
            <w:tcW w:type="dxa" w:w="2880"/>
          </w:tcPr>
          <w:p>
            <w:r>
              <w:rPr>
                <w:sz w:val="18"/>
              </w:rPr>
              <w:t>Expert fails to rephrase into third-person response.</w:t>
            </w:r>
          </w:p>
        </w:tc>
      </w:tr>
    </w:tbl>
    <w:p>
      <w:r>
        <w:br w:type="page"/>
      </w:r>
    </w:p>
    <w:p>
      <w:pPr>
        <w:pStyle w:val="Heading1"/>
        <w:jc w:val="left"/>
      </w:pPr>
      <w:r>
        <w:t>A.7 Dataset Schema</w:t>
      </w:r>
    </w:p>
    <w:p>
      <w:r>
        <w:t>Each record in the dataset is a JSON object with the following schema. All fields are guaranteed present; optional sub-fields within metadata default to null or empty lists when unavailable.</w:t>
      </w:r>
    </w:p>
    <w:tbl>
      <w:tblPr>
        <w:tblStyle w:val="TableGrid"/>
        <w:tblW w:type="auto" w:w="0"/>
        <w:tblLook w:firstColumn="1" w:firstRow="1" w:lastColumn="0" w:lastRow="0" w:noHBand="0" w:noVBand="1" w:val="04A0"/>
      </w:tblPr>
      <w:tblGrid>
        <w:gridCol w:w="2880"/>
        <w:gridCol w:w="2880"/>
        <w:gridCol w:w="2880"/>
      </w:tblGrid>
      <w:tr>
        <w:tc>
          <w:tcPr>
            <w:tcW w:type="dxa" w:w="2880"/>
            <w:shd w:fill="E7E6E6"/>
          </w:tcPr>
          <w:p>
            <w:r>
              <w:rPr>
                <w:b/>
                <w:sz w:val="18"/>
              </w:rPr>
              <w:t>Field</w:t>
            </w:r>
          </w:p>
        </w:tc>
        <w:tc>
          <w:tcPr>
            <w:tcW w:type="dxa" w:w="2880"/>
            <w:shd w:fill="E7E6E6"/>
          </w:tcPr>
          <w:p>
            <w:r>
              <w:rPr>
                <w:b/>
                <w:sz w:val="18"/>
              </w:rPr>
              <w:t>Type</w:t>
            </w:r>
          </w:p>
        </w:tc>
        <w:tc>
          <w:tcPr>
            <w:tcW w:type="dxa" w:w="2880"/>
            <w:shd w:fill="E7E6E6"/>
          </w:tcPr>
          <w:p>
            <w:r>
              <w:rPr>
                <w:b/>
                <w:sz w:val="18"/>
              </w:rPr>
              <w:t>Description</w:t>
            </w:r>
          </w:p>
        </w:tc>
      </w:tr>
      <w:tr>
        <w:tc>
          <w:tcPr>
            <w:tcW w:type="dxa" w:w="2880"/>
          </w:tcPr>
          <w:p>
            <w:r>
              <w:rPr>
                <w:sz w:val="18"/>
              </w:rPr>
              <w:t>instruction</w:t>
            </w:r>
          </w:p>
        </w:tc>
        <w:tc>
          <w:tcPr>
            <w:tcW w:type="dxa" w:w="2880"/>
          </w:tcPr>
          <w:p>
            <w:r>
              <w:rPr>
                <w:sz w:val="18"/>
              </w:rPr>
              <w:t>string</w:t>
            </w:r>
          </w:p>
        </w:tc>
        <w:tc>
          <w:tcPr>
            <w:tcW w:type="dxa" w:w="2880"/>
          </w:tcPr>
          <w:p>
            <w:r>
              <w:rPr>
                <w:sz w:val="18"/>
              </w:rPr>
              <w:t>The generated task instruction (Chinese, avg 106.5 chars).</w:t>
            </w:r>
          </w:p>
        </w:tc>
      </w:tr>
      <w:tr>
        <w:tc>
          <w:tcPr>
            <w:tcW w:type="dxa" w:w="2880"/>
          </w:tcPr>
          <w:p>
            <w:r>
              <w:rPr>
                <w:sz w:val="18"/>
              </w:rPr>
              <w:t>input</w:t>
            </w:r>
          </w:p>
        </w:tc>
        <w:tc>
          <w:tcPr>
            <w:tcW w:type="dxa" w:w="2880"/>
          </w:tcPr>
          <w:p>
            <w:r>
              <w:rPr>
                <w:sz w:val="18"/>
              </w:rPr>
              <w:t>string</w:t>
            </w:r>
          </w:p>
        </w:tc>
        <w:tc>
          <w:tcPr>
            <w:tcW w:type="dxa" w:w="2880"/>
          </w:tcPr>
          <w:p>
            <w:r>
              <w:rPr>
                <w:sz w:val="18"/>
              </w:rPr>
              <w:t>Source text chunk from the ESG document (up to ~2,000 chars).</w:t>
            </w:r>
          </w:p>
        </w:tc>
      </w:tr>
      <w:tr>
        <w:tc>
          <w:tcPr>
            <w:tcW w:type="dxa" w:w="2880"/>
          </w:tcPr>
          <w:p>
            <w:r>
              <w:rPr>
                <w:sz w:val="18"/>
              </w:rPr>
              <w:t>output</w:t>
            </w:r>
          </w:p>
        </w:tc>
        <w:tc>
          <w:tcPr>
            <w:tcW w:type="dxa" w:w="2880"/>
          </w:tcPr>
          <w:p>
            <w:r>
              <w:rPr>
                <w:sz w:val="18"/>
              </w:rPr>
              <w:t>string</w:t>
            </w:r>
          </w:p>
        </w:tc>
        <w:tc>
          <w:tcPr>
            <w:tcW w:type="dxa" w:w="2880"/>
          </w:tcPr>
          <w:p>
            <w:r>
              <w:rPr>
                <w:sz w:val="18"/>
              </w:rPr>
              <w:t>Generated response (Chinese/English, avg 380.4 chars).</w:t>
            </w:r>
          </w:p>
        </w:tc>
      </w:tr>
      <w:tr>
        <w:tc>
          <w:tcPr>
            <w:tcW w:type="dxa" w:w="2880"/>
          </w:tcPr>
          <w:p>
            <w:r>
              <w:rPr>
                <w:sz w:val="18"/>
              </w:rPr>
              <w:t>source_chunk_id</w:t>
            </w:r>
          </w:p>
        </w:tc>
        <w:tc>
          <w:tcPr>
            <w:tcW w:type="dxa" w:w="2880"/>
          </w:tcPr>
          <w:p>
            <w:r>
              <w:rPr>
                <w:sz w:val="18"/>
              </w:rPr>
              <w:t>string</w:t>
            </w:r>
          </w:p>
        </w:tc>
        <w:tc>
          <w:tcPr>
            <w:tcW w:type="dxa" w:w="2880"/>
          </w:tcPr>
          <w:p>
            <w:r>
              <w:rPr>
                <w:sz w:val="18"/>
              </w:rPr>
              <w:t>Unique chunk identifier (e.g., Layer2_CSR_2024_000920_chunk_21).</w:t>
            </w:r>
          </w:p>
        </w:tc>
      </w:tr>
      <w:tr>
        <w:tc>
          <w:tcPr>
            <w:tcW w:type="dxa" w:w="2880"/>
          </w:tcPr>
          <w:p>
            <w:r>
              <w:rPr>
                <w:sz w:val="18"/>
              </w:rPr>
              <w:t>metadata</w:t>
            </w:r>
          </w:p>
        </w:tc>
        <w:tc>
          <w:tcPr>
            <w:tcW w:type="dxa" w:w="2880"/>
          </w:tcPr>
          <w:p>
            <w:r>
              <w:rPr>
                <w:sz w:val="18"/>
              </w:rPr>
              <w:t>object</w:t>
            </w:r>
          </w:p>
        </w:tc>
        <w:tc>
          <w:tcPr>
            <w:tcW w:type="dxa" w:w="2880"/>
          </w:tcPr>
          <w:p>
            <w:r>
              <w:rPr>
                <w:sz w:val="18"/>
              </w:rPr>
              <w:t>Generation provenance and quality metadata (see below).</w:t>
            </w:r>
          </w:p>
        </w:tc>
      </w:tr>
    </w:tbl>
    <w:p>
      <w:pPr>
        <w:pStyle w:val="Heading2"/>
        <w:jc w:val="left"/>
      </w:pPr>
      <w:r>
        <w:t>Metadata Object</w:t>
      </w:r>
    </w:p>
    <w:tbl>
      <w:tblPr>
        <w:tblStyle w:val="TableGrid"/>
        <w:tblW w:type="auto" w:w="0"/>
        <w:tblLook w:firstColumn="1" w:firstRow="1" w:lastColumn="0" w:lastRow="0" w:noHBand="0" w:noVBand="1" w:val="04A0"/>
      </w:tblPr>
      <w:tblGrid>
        <w:gridCol w:w="2880"/>
        <w:gridCol w:w="2880"/>
        <w:gridCol w:w="2880"/>
      </w:tblGrid>
      <w:tr>
        <w:tc>
          <w:tcPr>
            <w:tcW w:type="dxa" w:w="2880"/>
            <w:shd w:fill="E7E6E6"/>
          </w:tcPr>
          <w:p>
            <w:r>
              <w:rPr>
                <w:b/>
                <w:sz w:val="18"/>
              </w:rPr>
              <w:t>Field</w:t>
            </w:r>
          </w:p>
        </w:tc>
        <w:tc>
          <w:tcPr>
            <w:tcW w:type="dxa" w:w="2880"/>
            <w:shd w:fill="E7E6E6"/>
          </w:tcPr>
          <w:p>
            <w:r>
              <w:rPr>
                <w:b/>
                <w:sz w:val="18"/>
              </w:rPr>
              <w:t>Type</w:t>
            </w:r>
          </w:p>
        </w:tc>
        <w:tc>
          <w:tcPr>
            <w:tcW w:type="dxa" w:w="2880"/>
            <w:shd w:fill="E7E6E6"/>
          </w:tcPr>
          <w:p>
            <w:r>
              <w:rPr>
                <w:b/>
                <w:sz w:val="18"/>
              </w:rPr>
              <w:t>Description</w:t>
            </w:r>
          </w:p>
        </w:tc>
      </w:tr>
      <w:tr>
        <w:tc>
          <w:tcPr>
            <w:tcW w:type="dxa" w:w="2880"/>
          </w:tcPr>
          <w:p>
            <w:r>
              <w:rPr>
                <w:sz w:val="18"/>
              </w:rPr>
              <w:t>quality_score</w:t>
            </w:r>
          </w:p>
        </w:tc>
        <w:tc>
          <w:tcPr>
            <w:tcW w:type="dxa" w:w="2880"/>
          </w:tcPr>
          <w:p>
            <w:r>
              <w:rPr>
                <w:sz w:val="18"/>
              </w:rPr>
              <w:t>float</w:t>
            </w:r>
          </w:p>
        </w:tc>
        <w:tc>
          <w:tcPr>
            <w:tcW w:type="dxa" w:w="2880"/>
          </w:tcPr>
          <w:p>
            <w:r>
              <w:rPr>
                <w:sz w:val="18"/>
              </w:rPr>
              <w:t>Composite score in [0,1] (mean 0.667, std 0.103).</w:t>
            </w:r>
          </w:p>
        </w:tc>
      </w:tr>
      <w:tr>
        <w:tc>
          <w:tcPr>
            <w:tcW w:type="dxa" w:w="2880"/>
          </w:tcPr>
          <w:p>
            <w:r>
              <w:rPr>
                <w:sz w:val="18"/>
              </w:rPr>
              <w:t>selected_experts</w:t>
            </w:r>
          </w:p>
        </w:tc>
        <w:tc>
          <w:tcPr>
            <w:tcW w:type="dxa" w:w="2880"/>
          </w:tcPr>
          <w:p>
            <w:r>
              <w:rPr>
                <w:sz w:val="18"/>
              </w:rPr>
              <w:t>list[str]</w:t>
            </w:r>
          </w:p>
        </w:tc>
        <w:tc>
          <w:tcPr>
            <w:tcW w:type="dxa" w:w="2880"/>
          </w:tcPr>
          <w:p>
            <w:r>
              <w:rPr>
                <w:sz w:val="18"/>
              </w:rPr>
              <w:t>IDs of expert agents invoked.</w:t>
            </w:r>
          </w:p>
        </w:tc>
      </w:tr>
      <w:tr>
        <w:tc>
          <w:tcPr>
            <w:tcW w:type="dxa" w:w="2880"/>
          </w:tcPr>
          <w:p>
            <w:r>
              <w:rPr>
                <w:sz w:val="18"/>
              </w:rPr>
              <w:t>expert_names</w:t>
            </w:r>
          </w:p>
        </w:tc>
        <w:tc>
          <w:tcPr>
            <w:tcW w:type="dxa" w:w="2880"/>
          </w:tcPr>
          <w:p>
            <w:r>
              <w:rPr>
                <w:sz w:val="18"/>
              </w:rPr>
              <w:t>string</w:t>
            </w:r>
          </w:p>
        </w:tc>
        <w:tc>
          <w:tcPr>
            <w:tcW w:type="dxa" w:w="2880"/>
          </w:tcPr>
          <w:p>
            <w:r>
              <w:rPr>
                <w:sz w:val="18"/>
              </w:rPr>
              <w:t>Human-readable expert names.</w:t>
            </w:r>
          </w:p>
        </w:tc>
      </w:tr>
      <w:tr>
        <w:tc>
          <w:tcPr>
            <w:tcW w:type="dxa" w:w="2880"/>
          </w:tcPr>
          <w:p>
            <w:r>
              <w:rPr>
                <w:sz w:val="18"/>
              </w:rPr>
              <w:t>selection_reasons</w:t>
            </w:r>
          </w:p>
        </w:tc>
        <w:tc>
          <w:tcPr>
            <w:tcW w:type="dxa" w:w="2880"/>
          </w:tcPr>
          <w:p>
            <w:r>
              <w:rPr>
                <w:sz w:val="18"/>
              </w:rPr>
              <w:t>object</w:t>
            </w:r>
          </w:p>
        </w:tc>
        <w:tc>
          <w:tcPr>
            <w:tcW w:type="dxa" w:w="2880"/>
          </w:tcPr>
          <w:p>
            <w:r>
              <w:rPr>
                <w:sz w:val="18"/>
              </w:rPr>
              <w:t>Feature scores that triggered each expert's selection.</w:t>
            </w:r>
          </w:p>
        </w:tc>
      </w:tr>
      <w:tr>
        <w:tc>
          <w:tcPr>
            <w:tcW w:type="dxa" w:w="2880"/>
          </w:tcPr>
          <w:p>
            <w:r>
              <w:rPr>
                <w:sz w:val="18"/>
              </w:rPr>
              <w:t>use_meta_expert</w:t>
            </w:r>
          </w:p>
        </w:tc>
        <w:tc>
          <w:tcPr>
            <w:tcW w:type="dxa" w:w="2880"/>
          </w:tcPr>
          <w:p>
            <w:r>
              <w:rPr>
                <w:sz w:val="18"/>
              </w:rPr>
              <w:t>bool</w:t>
            </w:r>
          </w:p>
        </w:tc>
        <w:tc>
          <w:tcPr>
            <w:tcW w:type="dxa" w:w="2880"/>
          </w:tcPr>
          <w:p>
            <w:r>
              <w:rPr>
                <w:sz w:val="18"/>
              </w:rPr>
              <w:t>Whether MetaExpert orchestration was used.</w:t>
            </w:r>
          </w:p>
        </w:tc>
      </w:tr>
      <w:tr>
        <w:tc>
          <w:tcPr>
            <w:tcW w:type="dxa" w:w="2880"/>
          </w:tcPr>
          <w:p>
            <w:r>
              <w:rPr>
                <w:sz w:val="18"/>
              </w:rPr>
              <w:t>dynamic_instructions</w:t>
            </w:r>
          </w:p>
        </w:tc>
        <w:tc>
          <w:tcPr>
            <w:tcW w:type="dxa" w:w="2880"/>
          </w:tcPr>
          <w:p>
            <w:r>
              <w:rPr>
                <w:sz w:val="18"/>
              </w:rPr>
              <w:t>string</w:t>
            </w:r>
          </w:p>
        </w:tc>
        <w:tc>
          <w:tcPr>
            <w:tcW w:type="dxa" w:w="2880"/>
          </w:tcPr>
          <w:p>
            <w:r>
              <w:rPr>
                <w:sz w:val="18"/>
              </w:rPr>
              <w:t>The work instruction generated by MetaExpert (if any).</w:t>
            </w:r>
          </w:p>
        </w:tc>
      </w:tr>
      <w:tr>
        <w:tc>
          <w:tcPr>
            <w:tcW w:type="dxa" w:w="2880"/>
          </w:tcPr>
          <w:p>
            <w:r>
              <w:rPr>
                <w:sz w:val="18"/>
              </w:rPr>
              <w:t>knowledge_items_count</w:t>
            </w:r>
          </w:p>
        </w:tc>
        <w:tc>
          <w:tcPr>
            <w:tcW w:type="dxa" w:w="2880"/>
          </w:tcPr>
          <w:p>
            <w:r>
              <w:rPr>
                <w:sz w:val="18"/>
              </w:rPr>
              <w:t>int</w:t>
            </w:r>
          </w:p>
        </w:tc>
        <w:tc>
          <w:tcPr>
            <w:tcW w:type="dxa" w:w="2880"/>
          </w:tcPr>
          <w:p>
            <w:r>
              <w:rPr>
                <w:sz w:val="18"/>
              </w:rPr>
              <w:t>Number of injected domain-knowledge items (0–5).</w:t>
            </w:r>
          </w:p>
        </w:tc>
      </w:tr>
      <w:tr>
        <w:tc>
          <w:tcPr>
            <w:tcW w:type="dxa" w:w="2880"/>
          </w:tcPr>
          <w:p>
            <w:r>
              <w:rPr>
                <w:sz w:val="18"/>
              </w:rPr>
              <w:t>collaboration_mode</w:t>
            </w:r>
          </w:p>
        </w:tc>
        <w:tc>
          <w:tcPr>
            <w:tcW w:type="dxa" w:w="2880"/>
          </w:tcPr>
          <w:p>
            <w:r>
              <w:rPr>
                <w:sz w:val="18"/>
              </w:rPr>
              <w:t>string</w:t>
            </w:r>
          </w:p>
        </w:tc>
        <w:tc>
          <w:tcPr>
            <w:tcW w:type="dxa" w:w="2880"/>
          </w:tcPr>
          <w:p>
            <w:r>
              <w:rPr>
                <w:sz w:val="18"/>
              </w:rPr>
              <w:t>parallel or sequential.</w:t>
            </w:r>
          </w:p>
        </w:tc>
      </w:tr>
      <w:tr>
        <w:tc>
          <w:tcPr>
            <w:tcW w:type="dxa" w:w="2880"/>
          </w:tcPr>
          <w:p>
            <w:r>
              <w:rPr>
                <w:sz w:val="18"/>
              </w:rPr>
              <w:t>max_iterations</w:t>
            </w:r>
          </w:p>
        </w:tc>
        <w:tc>
          <w:tcPr>
            <w:tcW w:type="dxa" w:w="2880"/>
          </w:tcPr>
          <w:p>
            <w:r>
              <w:rPr>
                <w:sz w:val="18"/>
              </w:rPr>
              <w:t>int</w:t>
            </w:r>
          </w:p>
        </w:tc>
        <w:tc>
          <w:tcPr>
            <w:tcW w:type="dxa" w:w="2880"/>
          </w:tcPr>
          <w:p>
            <w:r>
              <w:rPr>
                <w:sz w:val="18"/>
              </w:rPr>
              <w:t>Feedback rounds executed (0–2).</w:t>
            </w:r>
          </w:p>
        </w:tc>
      </w:tr>
      <w:tr>
        <w:tc>
          <w:tcPr>
            <w:tcW w:type="dxa" w:w="2880"/>
          </w:tcPr>
          <w:p>
            <w:r>
              <w:rPr>
                <w:sz w:val="18"/>
              </w:rPr>
              <w:t>model</w:t>
            </w:r>
          </w:p>
        </w:tc>
        <w:tc>
          <w:tcPr>
            <w:tcW w:type="dxa" w:w="2880"/>
          </w:tcPr>
          <w:p>
            <w:r>
              <w:rPr>
                <w:sz w:val="18"/>
              </w:rPr>
              <w:t>string</w:t>
            </w:r>
          </w:p>
        </w:tc>
        <w:tc>
          <w:tcPr>
            <w:tcW w:type="dxa" w:w="2880"/>
          </w:tcPr>
          <w:p>
            <w:r>
              <w:rPr>
                <w:sz w:val="18"/>
              </w:rPr>
              <w:t>Generator model ID (Qwen2-72B-Instruct).</w:t>
            </w:r>
          </w:p>
        </w:tc>
      </w:tr>
      <w:tr>
        <w:tc>
          <w:tcPr>
            <w:tcW w:type="dxa" w:w="2880"/>
          </w:tcPr>
          <w:p>
            <w:r>
              <w:rPr>
                <w:sz w:val="18"/>
              </w:rPr>
              <w:t>framework</w:t>
            </w:r>
          </w:p>
        </w:tc>
        <w:tc>
          <w:tcPr>
            <w:tcW w:type="dxa" w:w="2880"/>
          </w:tcPr>
          <w:p>
            <w:r>
              <w:rPr>
                <w:sz w:val="18"/>
              </w:rPr>
              <w:t>string</w:t>
            </w:r>
          </w:p>
        </w:tc>
        <w:tc>
          <w:tcPr>
            <w:tcW w:type="dxa" w:w="2880"/>
          </w:tcPr>
          <w:p>
            <w:r>
              <w:rPr>
                <w:sz w:val="18"/>
              </w:rPr>
              <w:t>Always CoDE.</w:t>
            </w:r>
          </w:p>
        </w:tc>
      </w:tr>
    </w:tbl>
    <w:p>
      <w:r>
        <w:rPr>
          <w:b/>
        </w:rPr>
        <w:t xml:space="preserve">Quality score composition. </w:t>
      </w:r>
      <w:r>
        <w:t>The MetaExpert evaluates four dimensions, each scored 0–1:</w:t>
      </w:r>
    </w:p>
    <w:p>
      <w:pPr>
        <w:pStyle w:val="ListNumber"/>
        <w:spacing w:after="60"/>
      </w:pPr>
      <w:r>
        <w:rPr>
          <w:sz w:val="20"/>
        </w:rPr>
        <w:t>Correctness (weight 0.4): Factual accuracy against the source chunk.</w:t>
      </w:r>
    </w:p>
    <w:p>
      <w:pPr>
        <w:pStyle w:val="ListNumber"/>
        <w:spacing w:after="60"/>
      </w:pPr>
      <w:r>
        <w:rPr>
          <w:sz w:val="20"/>
        </w:rPr>
        <w:t>Completeness (weight 0.3): Coverage of all relevant aspects in the chunk.</w:t>
      </w:r>
    </w:p>
    <w:p>
      <w:pPr>
        <w:pStyle w:val="ListNumber"/>
        <w:spacing w:after="60"/>
      </w:pPr>
      <w:r>
        <w:rPr>
          <w:sz w:val="20"/>
        </w:rPr>
        <w:t>Relevance (weight 0.2): Alignment between instruction and response.</w:t>
      </w:r>
    </w:p>
    <w:p>
      <w:pPr>
        <w:pStyle w:val="ListNumber"/>
        <w:spacing w:after="60"/>
      </w:pPr>
      <w:r>
        <w:rPr>
          <w:sz w:val="20"/>
        </w:rPr>
        <w:t>Structure (weight 0.1): Clarity of formatting and logical flow.</w:t>
      </w:r>
    </w:p>
    <w:p>
      <w:r>
        <w:t>The composite score is the weighted sum. Records with score &lt; 0.6 trigger a feedback round; records that still fail after R=2 rounds are discarded.</w:t>
      </w:r>
    </w:p>
    <w:p>
      <w:r>
        <w:br w:type="page"/>
      </w:r>
    </w:p>
    <w:p>
      <w:pPr>
        <w:pStyle w:val="Heading1"/>
        <w:jc w:val="left"/>
      </w:pPr>
      <w:r>
        <w:t>A.8 Latency and Cost Breakdown</w:t>
      </w:r>
    </w:p>
    <w:p>
      <w:r>
        <w:t>Table 5 reports end-to-end latency measured on a single NVIDIA A100 (80 GB) with Qwen2-72B-Instruct 4-bit quantized via Unsloth. Batch size is 1; times are wall-clock averages over 100 records.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E7E6E6"/>
          </w:tcPr>
          <w:p>
            <w:r>
              <w:rPr>
                <w:b/>
                <w:sz w:val="18"/>
              </w:rPr>
              <w:t>Pipeline Stage</w:t>
            </w:r>
          </w:p>
        </w:tc>
        <w:tc>
          <w:tcPr>
            <w:tcW w:type="dxa" w:w="2160"/>
            <w:shd w:fill="E7E6E6"/>
          </w:tcPr>
          <w:p>
            <w:r>
              <w:rPr>
                <w:b/>
                <w:sz w:val="18"/>
              </w:rPr>
              <w:t>Time / Record</w:t>
            </w:r>
          </w:p>
        </w:tc>
        <w:tc>
          <w:tcPr>
            <w:tcW w:type="dxa" w:w="2160"/>
            <w:shd w:fill="E7E6E6"/>
          </w:tcPr>
          <w:p>
            <w:r>
              <w:rPr>
                <w:b/>
                <w:sz w:val="18"/>
              </w:rPr>
              <w:t>Total (35K)</w:t>
            </w:r>
          </w:p>
        </w:tc>
        <w:tc>
          <w:tcPr>
            <w:tcW w:type="dxa" w:w="2160"/>
            <w:shd w:fill="E7E6E6"/>
          </w:tcPr>
          <w:p>
            <w:r>
              <w:rPr>
                <w:b/>
                <w:sz w:val="18"/>
              </w:rPr>
              <w:t>% of Total</w:t>
            </w:r>
          </w:p>
        </w:tc>
      </w:tr>
      <w:tr>
        <w:tc>
          <w:tcPr>
            <w:tcW w:type="dxa" w:w="2160"/>
          </w:tcPr>
          <w:p>
            <w:r>
              <w:rPr>
                <w:sz w:val="18"/>
              </w:rPr>
              <w:t>Document parsing</w:t>
            </w:r>
          </w:p>
        </w:tc>
        <w:tc>
          <w:tcPr>
            <w:tcW w:type="dxa" w:w="2160"/>
          </w:tcPr>
          <w:p>
            <w:r>
              <w:rPr>
                <w:sz w:val="18"/>
              </w:rPr>
              <w:t>---</w:t>
            </w:r>
          </w:p>
        </w:tc>
        <w:tc>
          <w:tcPr>
            <w:tcW w:type="dxa" w:w="2160"/>
          </w:tcPr>
          <w:p>
            <w:r>
              <w:rPr>
                <w:sz w:val="18"/>
              </w:rPr>
              <w:t>~2 hrs</w:t>
            </w:r>
          </w:p>
        </w:tc>
        <w:tc>
          <w:tcPr>
            <w:tcW w:type="dxa" w:w="2160"/>
          </w:tcPr>
          <w:p>
            <w:r>
              <w:rPr>
                <w:sz w:val="18"/>
              </w:rPr>
              <w:t>4%</w:t>
            </w:r>
          </w:p>
        </w:tc>
      </w:tr>
      <w:tr>
        <w:tc>
          <w:tcPr>
            <w:tcW w:type="dxa" w:w="2160"/>
          </w:tcPr>
          <w:p>
            <w:r>
              <w:rPr>
                <w:sz w:val="18"/>
              </w:rPr>
              <w:t>Semantic chunking</w:t>
            </w:r>
          </w:p>
        </w:tc>
        <w:tc>
          <w:tcPr>
            <w:tcW w:type="dxa" w:w="2160"/>
          </w:tcPr>
          <w:p>
            <w:r>
              <w:rPr>
                <w:sz w:val="18"/>
              </w:rPr>
              <w:t>---</w:t>
            </w:r>
          </w:p>
        </w:tc>
        <w:tc>
          <w:tcPr>
            <w:tcW w:type="dxa" w:w="2160"/>
          </w:tcPr>
          <w:p>
            <w:r>
              <w:rPr>
                <w:sz w:val="18"/>
              </w:rPr>
              <w:t>~30 min</w:t>
            </w:r>
          </w:p>
        </w:tc>
        <w:tc>
          <w:tcPr>
            <w:tcW w:type="dxa" w:w="2160"/>
          </w:tcPr>
          <w:p>
            <w:r>
              <w:rPr>
                <w:sz w:val="18"/>
              </w:rPr>
              <w:t>1%</w:t>
            </w:r>
          </w:p>
        </w:tc>
      </w:tr>
      <w:tr>
        <w:tc>
          <w:tcPr>
            <w:tcW w:type="dxa" w:w="2160"/>
          </w:tcPr>
          <w:p>
            <w:r>
              <w:rPr>
                <w:sz w:val="18"/>
              </w:rPr>
              <w:t>Expert selection</w:t>
            </w:r>
          </w:p>
        </w:tc>
        <w:tc>
          <w:tcPr>
            <w:tcW w:type="dxa" w:w="2160"/>
          </w:tcPr>
          <w:p>
            <w:r>
              <w:rPr>
                <w:sz w:val="18"/>
              </w:rPr>
              <w:t>0.02 s</w:t>
            </w:r>
          </w:p>
        </w:tc>
        <w:tc>
          <w:tcPr>
            <w:tcW w:type="dxa" w:w="2160"/>
          </w:tcPr>
          <w:p>
            <w:r>
              <w:rPr>
                <w:sz w:val="18"/>
              </w:rPr>
              <w:t>~12 min</w:t>
            </w:r>
          </w:p>
        </w:tc>
        <w:tc>
          <w:tcPr>
            <w:tcW w:type="dxa" w:w="2160"/>
          </w:tcPr>
          <w:p>
            <w:r>
              <w:rPr>
                <w:sz w:val="18"/>
              </w:rPr>
              <w:t>&lt;1%</w:t>
            </w:r>
          </w:p>
        </w:tc>
      </w:tr>
      <w:tr>
        <w:tc>
          <w:tcPr>
            <w:tcW w:type="dxa" w:w="2160"/>
          </w:tcPr>
          <w:p>
            <w:r>
              <w:rPr>
                <w:sz w:val="18"/>
              </w:rPr>
              <w:t>Knowledge retrieval</w:t>
            </w:r>
          </w:p>
        </w:tc>
        <w:tc>
          <w:tcPr>
            <w:tcW w:type="dxa" w:w="2160"/>
          </w:tcPr>
          <w:p>
            <w:r>
              <w:rPr>
                <w:sz w:val="18"/>
              </w:rPr>
              <w:t>0.15 s</w:t>
            </w:r>
          </w:p>
        </w:tc>
        <w:tc>
          <w:tcPr>
            <w:tcW w:type="dxa" w:w="2160"/>
          </w:tcPr>
          <w:p>
            <w:r>
              <w:rPr>
                <w:sz w:val="18"/>
              </w:rPr>
              <w:t>~88 min</w:t>
            </w:r>
          </w:p>
        </w:tc>
        <w:tc>
          <w:tcPr>
            <w:tcW w:type="dxa" w:w="2160"/>
          </w:tcPr>
          <w:p>
            <w:r>
              <w:rPr>
                <w:sz w:val="18"/>
              </w:rPr>
              <w:t>3%</w:t>
            </w:r>
          </w:p>
        </w:tc>
      </w:tr>
      <w:tr>
        <w:tc>
          <w:tcPr>
            <w:tcW w:type="dxa" w:w="2160"/>
          </w:tcPr>
          <w:p>
            <w:r>
              <w:rPr>
                <w:sz w:val="18"/>
              </w:rPr>
              <w:t>Parallel generation</w:t>
            </w:r>
          </w:p>
        </w:tc>
        <w:tc>
          <w:tcPr>
            <w:tcW w:type="dxa" w:w="2160"/>
          </w:tcPr>
          <w:p>
            <w:r>
              <w:rPr>
                <w:sz w:val="18"/>
              </w:rPr>
              <w:t>2.8 s</w:t>
            </w:r>
          </w:p>
        </w:tc>
        <w:tc>
          <w:tcPr>
            <w:tcW w:type="dxa" w:w="2160"/>
          </w:tcPr>
          <w:p>
            <w:r>
              <w:rPr>
                <w:sz w:val="18"/>
              </w:rPr>
              <w:t>~27 hrs</w:t>
            </w:r>
          </w:p>
        </w:tc>
        <w:tc>
          <w:tcPr>
            <w:tcW w:type="dxa" w:w="2160"/>
          </w:tcPr>
          <w:p>
            <w:r>
              <w:rPr>
                <w:sz w:val="18"/>
              </w:rPr>
              <w:t>58%</w:t>
            </w:r>
          </w:p>
        </w:tc>
      </w:tr>
      <w:tr>
        <w:tc>
          <w:tcPr>
            <w:tcW w:type="dxa" w:w="2160"/>
          </w:tcPr>
          <w:p>
            <w:r>
              <w:rPr>
                <w:sz w:val="18"/>
              </w:rPr>
              <w:t>MetaExpert feedback (R=2)</w:t>
            </w:r>
          </w:p>
        </w:tc>
        <w:tc>
          <w:tcPr>
            <w:tcW w:type="dxa" w:w="2160"/>
          </w:tcPr>
          <w:p>
            <w:r>
              <w:rPr>
                <w:sz w:val="18"/>
              </w:rPr>
              <w:t>1.9 s</w:t>
            </w:r>
          </w:p>
        </w:tc>
        <w:tc>
          <w:tcPr>
            <w:tcW w:type="dxa" w:w="2160"/>
          </w:tcPr>
          <w:p>
            <w:r>
              <w:rPr>
                <w:sz w:val="18"/>
              </w:rPr>
              <w:t>~18 hrs</w:t>
            </w:r>
          </w:p>
        </w:tc>
        <w:tc>
          <w:tcPr>
            <w:tcW w:type="dxa" w:w="2160"/>
          </w:tcPr>
          <w:p>
            <w:r>
              <w:rPr>
                <w:sz w:val="18"/>
              </w:rPr>
              <w:t>38%</w:t>
            </w:r>
          </w:p>
        </w:tc>
      </w:tr>
      <w:tr>
        <w:tc>
          <w:tcPr>
            <w:tcW w:type="dxa" w:w="2160"/>
          </w:tcPr>
          <w:p>
            <w:r>
              <w:rPr>
                <w:sz w:val="18"/>
              </w:rPr>
              <w:t>Quality scoring</w:t>
            </w:r>
          </w:p>
        </w:tc>
        <w:tc>
          <w:tcPr>
            <w:tcW w:type="dxa" w:w="2160"/>
          </w:tcPr>
          <w:p>
            <w:r>
              <w:rPr>
                <w:sz w:val="18"/>
              </w:rPr>
              <w:t>0.05 s</w:t>
            </w:r>
          </w:p>
        </w:tc>
        <w:tc>
          <w:tcPr>
            <w:tcW w:type="dxa" w:w="2160"/>
          </w:tcPr>
          <w:p>
            <w:r>
              <w:rPr>
                <w:sz w:val="18"/>
              </w:rPr>
              <w:t>~29 min</w:t>
            </w:r>
          </w:p>
        </w:tc>
        <w:tc>
          <w:tcPr>
            <w:tcW w:type="dxa" w:w="2160"/>
          </w:tcPr>
          <w:p>
            <w:r>
              <w:rPr>
                <w:sz w:val="18"/>
              </w:rPr>
              <w:t>1%</w:t>
            </w:r>
          </w:p>
        </w:tc>
      </w:tr>
      <w:tr>
        <w:tc>
          <w:tcPr>
            <w:tcW w:type="dxa" w:w="2160"/>
          </w:tcPr>
          <w:p>
            <w:r>
              <w:rPr>
                <w:sz w:val="18"/>
              </w:rPr>
              <w:t>Total</w:t>
            </w:r>
          </w:p>
        </w:tc>
        <w:tc>
          <w:tcPr>
            <w:tcW w:type="dxa" w:w="2160"/>
          </w:tcPr>
          <w:p>
            <w:r>
              <w:rPr>
                <w:sz w:val="18"/>
              </w:rPr>
              <w:t>~4.9 s</w:t>
            </w:r>
          </w:p>
        </w:tc>
        <w:tc>
          <w:tcPr>
            <w:tcW w:type="dxa" w:w="2160"/>
          </w:tcPr>
          <w:p>
            <w:r>
              <w:rPr>
                <w:sz w:val="18"/>
              </w:rPr>
              <w:t>~46 hrs</w:t>
            </w:r>
          </w:p>
        </w:tc>
        <w:tc>
          <w:tcPr>
            <w:tcW w:type="dxa" w:w="2160"/>
          </w:tcPr>
          <w:p>
            <w:r>
              <w:rPr>
                <w:sz w:val="18"/>
              </w:rPr>
              <w:t>100%</w:t>
            </w:r>
          </w:p>
        </w:tc>
      </w:tr>
    </w:tbl>
    <w:p>
      <w:r>
        <w:rPr>
          <w:b/>
        </w:rPr>
        <w:t xml:space="preserve">Notes. </w:t>
      </w:r>
    </w:p>
    <w:p>
      <w:pPr>
        <w:pStyle w:val="ListBullet"/>
        <w:spacing w:after="60"/>
      </w:pPr>
      <w:r>
        <w:rPr>
          <w:sz w:val="20"/>
        </w:rPr>
        <w:t>Document parsing and chunking are I/O-bound and run on CPU; their times depend on PDF complexity.</w:t>
      </w:r>
    </w:p>
    <w:p>
      <w:pPr>
        <w:pStyle w:val="ListBullet"/>
        <w:spacing w:after="60"/>
      </w:pPr>
      <w:r>
        <w:rPr>
          <w:sz w:val="20"/>
        </w:rPr>
        <w:t>Generation and feedback are GPU-bound and dominate the pipeline.</w:t>
      </w:r>
    </w:p>
    <w:p>
      <w:pPr>
        <w:pStyle w:val="ListBullet"/>
        <w:spacing w:after="60"/>
      </w:pPr>
      <w:r>
        <w:rPr>
          <w:sz w:val="20"/>
        </w:rPr>
        <w:t>Parallel collaboration reduces per-record latency by invoking multiple experts in a single forward pass when possible.</w:t>
      </w:r>
    </w:p>
    <w:p>
      <w:pPr>
        <w:pStyle w:val="ListBullet"/>
        <w:spacing w:after="60"/>
      </w:pPr>
      <w:r>
        <w:rPr>
          <w:sz w:val="20"/>
        </w:rPr>
        <w:t>The 46-hour total assumes sequential processing; with 4-way parallel chunk processing across 4 A100 GPUs, the wall-clock time drops to ~12 hours.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