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C531A1">
      <w:pPr>
        <w:pStyle w:val="178"/>
        <w:rPr>
          <w14:ligatures w14:val="standard"/>
        </w:rPr>
      </w:pPr>
      <w:r>
        <w:rPr>
          <w:bCs/>
          <w14:ligatures w14:val="standard"/>
        </w:rPr>
        <w:t>VeritasCarbon: Traceable Instruction Data Gene</w:t>
      </w:r>
      <w:bookmarkStart w:id="75" w:name="_GoBack"/>
      <w:bookmarkEnd w:id="75"/>
      <w:r>
        <w:rPr>
          <w:bCs/>
          <w14:ligatures w14:val="standard"/>
        </w:rPr>
        <w:t>ration for ESG</w:t>
      </w:r>
      <w:r>
        <w:rPr>
          <w:bCs/>
          <w:vertAlign w:val="superscript"/>
          <w14:ligatures w14:val="standard"/>
        </w:rPr>
        <w:t>∗</w:t>
      </w:r>
      <w:bookmarkStart w:id="0" w:name="OLE_LINK1"/>
    </w:p>
    <w:bookmarkEnd w:id="0"/>
    <w:p w14:paraId="740DB63E">
      <w:pPr>
        <w:spacing w:after="0" w:line="240" w:lineRule="auto"/>
        <w:jc w:val="center"/>
      </w:pPr>
    </w:p>
    <w:tbl>
      <w:tblPr>
        <w:tblStyle w:val="33"/>
        <w:tblW w:w="5000" w:type="pct"/>
        <w:jc w:val="center"/>
        <w:tblLayout w:type="autofit"/>
        <w:tblCellMar>
          <w:top w:w="0" w:type="dxa"/>
          <w:left w:w="108" w:type="dxa"/>
          <w:bottom w:w="0" w:type="dxa"/>
          <w:right w:w="108" w:type="dxa"/>
        </w:tblCellMar>
      </w:tblPr>
      <w:tblGrid>
        <w:gridCol w:w="3423"/>
        <w:gridCol w:w="3423"/>
        <w:gridCol w:w="3422"/>
      </w:tblGrid>
      <w:tr w14:paraId="7FDF34FE">
        <w:tblPrEx>
          <w:tblCellMar>
            <w:top w:w="0" w:type="dxa"/>
            <w:left w:w="108" w:type="dxa"/>
            <w:bottom w:w="0" w:type="dxa"/>
            <w:right w:w="108" w:type="dxa"/>
          </w:tblCellMar>
        </w:tblPrEx>
        <w:trPr>
          <w:jc w:val="center"/>
        </w:trPr>
        <w:tc>
          <w:tcPr>
            <w:tcW w:w="1667" w:type="pct"/>
            <w:tcMar>
              <w:top w:w="80" w:type="dxa"/>
              <w:left w:w="80" w:type="dxa"/>
              <w:bottom w:w="80" w:type="dxa"/>
              <w:right w:w="80" w:type="dxa"/>
            </w:tcMar>
            <w:vAlign w:val="center"/>
          </w:tcPr>
          <w:p w14:paraId="4D1550AC">
            <w:pPr>
              <w:spacing w:after="40"/>
              <w:jc w:val="center"/>
              <w:rPr>
                <w:sz w:val="24"/>
                <w:szCs w:val="24"/>
              </w:rPr>
            </w:pPr>
            <w:r>
              <w:rPr>
                <w:bCs/>
                <w:sz w:val="24"/>
                <w:szCs w:val="24"/>
              </w:rPr>
              <w:t>Yihan JIANG</w:t>
            </w:r>
            <w:r>
              <w:rPr>
                <w:b/>
                <w:sz w:val="24"/>
                <w:szCs w:val="24"/>
                <w:vertAlign w:val="superscript"/>
              </w:rPr>
              <w:t>†</w:t>
            </w:r>
          </w:p>
          <w:p w14:paraId="45C4C2E8">
            <w:pPr>
              <w:spacing w:after="0"/>
              <w:jc w:val="center"/>
              <w:rPr>
                <w:szCs w:val="20"/>
              </w:rPr>
            </w:pPr>
            <w:r>
              <w:rPr>
                <w:szCs w:val="20"/>
              </w:rPr>
              <w:t>Society Hub</w:t>
            </w:r>
          </w:p>
          <w:p w14:paraId="287611C1">
            <w:pPr>
              <w:spacing w:after="0"/>
              <w:jc w:val="center"/>
              <w:rPr>
                <w:szCs w:val="20"/>
              </w:rPr>
            </w:pPr>
            <w:r>
              <w:rPr>
                <w:szCs w:val="20"/>
              </w:rPr>
              <w:t>Hong Kong University of Science and Technology (Guangzhou)</w:t>
            </w:r>
          </w:p>
          <w:p w14:paraId="5493D9ED">
            <w:pPr>
              <w:spacing w:after="0"/>
              <w:jc w:val="center"/>
              <w:rPr>
                <w:szCs w:val="20"/>
              </w:rPr>
            </w:pPr>
            <w:r>
              <w:rPr>
                <w:szCs w:val="20"/>
              </w:rPr>
              <w:t>Guangzhou, China</w:t>
            </w:r>
          </w:p>
          <w:p w14:paraId="471C3782">
            <w:pPr>
              <w:spacing w:after="0"/>
              <w:jc w:val="center"/>
            </w:pPr>
            <w:r>
              <w:rPr>
                <w:szCs w:val="20"/>
              </w:rPr>
              <w:t>yjiang909@connect.hkust-gz.edu.cn</w:t>
            </w:r>
          </w:p>
        </w:tc>
        <w:tc>
          <w:tcPr>
            <w:tcW w:w="1667" w:type="pct"/>
            <w:tcMar>
              <w:top w:w="80" w:type="dxa"/>
              <w:left w:w="80" w:type="dxa"/>
              <w:bottom w:w="80" w:type="dxa"/>
              <w:right w:w="80" w:type="dxa"/>
            </w:tcMar>
            <w:vAlign w:val="center"/>
          </w:tcPr>
          <w:p w14:paraId="208A4AF9">
            <w:pPr>
              <w:spacing w:after="40"/>
              <w:jc w:val="center"/>
              <w:rPr>
                <w:bCs/>
                <w:sz w:val="24"/>
                <w:szCs w:val="24"/>
              </w:rPr>
            </w:pPr>
            <w:r>
              <w:rPr>
                <w:bCs/>
                <w:sz w:val="24"/>
                <w:szCs w:val="24"/>
              </w:rPr>
              <w:t>Fei PENG</w:t>
            </w:r>
          </w:p>
          <w:p w14:paraId="746AF6A4">
            <w:pPr>
              <w:spacing w:after="0"/>
              <w:jc w:val="center"/>
              <w:rPr>
                <w:szCs w:val="20"/>
              </w:rPr>
            </w:pPr>
            <w:r>
              <w:rPr>
                <w:szCs w:val="20"/>
              </w:rPr>
              <w:t>School of Economics and Management</w:t>
            </w:r>
          </w:p>
          <w:p w14:paraId="4684D6A8">
            <w:pPr>
              <w:spacing w:after="0"/>
              <w:jc w:val="center"/>
              <w:rPr>
                <w:szCs w:val="20"/>
              </w:rPr>
            </w:pPr>
            <w:r>
              <w:rPr>
                <w:szCs w:val="20"/>
              </w:rPr>
              <w:t>Nanchang University</w:t>
            </w:r>
          </w:p>
          <w:p w14:paraId="712BC637">
            <w:pPr>
              <w:spacing w:after="0"/>
              <w:jc w:val="center"/>
              <w:rPr>
                <w:szCs w:val="20"/>
              </w:rPr>
            </w:pPr>
            <w:r>
              <w:rPr>
                <w:szCs w:val="20"/>
              </w:rPr>
              <w:t>Nanchang, China</w:t>
            </w:r>
          </w:p>
          <w:p w14:paraId="37602E5B">
            <w:pPr>
              <w:spacing w:after="0"/>
              <w:jc w:val="center"/>
            </w:pPr>
            <w:r>
              <w:rPr>
                <w:szCs w:val="20"/>
              </w:rPr>
              <w:t>pengfei24@email.ncu.edu.cn</w:t>
            </w:r>
          </w:p>
        </w:tc>
        <w:tc>
          <w:tcPr>
            <w:tcW w:w="1667" w:type="pct"/>
          </w:tcPr>
          <w:p w14:paraId="7B576822">
            <w:pPr>
              <w:spacing w:after="40"/>
              <w:jc w:val="center"/>
              <w:rPr>
                <w:b/>
                <w:sz w:val="24"/>
                <w:szCs w:val="24"/>
              </w:rPr>
            </w:pPr>
            <w:r>
              <w:rPr>
                <w:bCs/>
                <w:sz w:val="24"/>
                <w:szCs w:val="24"/>
              </w:rPr>
              <w:t>Kok Sin Woon</w:t>
            </w:r>
            <w:r>
              <w:rPr>
                <w:b/>
                <w:sz w:val="24"/>
                <w:szCs w:val="24"/>
              </w:rPr>
              <w:t>*</w:t>
            </w:r>
          </w:p>
          <w:p w14:paraId="6342D730">
            <w:pPr>
              <w:spacing w:after="0"/>
              <w:jc w:val="center"/>
              <w:rPr>
                <w:szCs w:val="20"/>
              </w:rPr>
            </w:pPr>
            <w:r>
              <w:rPr>
                <w:szCs w:val="20"/>
              </w:rPr>
              <w:t>Society Hub</w:t>
            </w:r>
          </w:p>
          <w:p w14:paraId="16462994">
            <w:pPr>
              <w:spacing w:after="0"/>
              <w:jc w:val="center"/>
              <w:rPr>
                <w:szCs w:val="20"/>
              </w:rPr>
            </w:pPr>
            <w:r>
              <w:rPr>
                <w:szCs w:val="20"/>
              </w:rPr>
              <w:t>Hong Kong University of Science and Technology (Guangzhou)</w:t>
            </w:r>
          </w:p>
          <w:p w14:paraId="1CB5BDC7">
            <w:pPr>
              <w:spacing w:after="0"/>
              <w:jc w:val="center"/>
              <w:rPr>
                <w:szCs w:val="20"/>
              </w:rPr>
            </w:pPr>
            <w:r>
              <w:rPr>
                <w:szCs w:val="20"/>
              </w:rPr>
              <w:t>Guangzhou, China</w:t>
            </w:r>
          </w:p>
          <w:p w14:paraId="1395214B">
            <w:pPr>
              <w:spacing w:after="40"/>
              <w:jc w:val="center"/>
              <w:rPr>
                <w:bCs/>
                <w:sz w:val="24"/>
                <w:szCs w:val="24"/>
              </w:rPr>
            </w:pPr>
            <w:r>
              <w:rPr>
                <w:szCs w:val="20"/>
              </w:rPr>
              <w:t>koksinwoon@hkust-gz.edu.cn</w:t>
            </w:r>
          </w:p>
        </w:tc>
      </w:tr>
      <w:tr w14:paraId="10355E6E">
        <w:tblPrEx>
          <w:tblCellMar>
            <w:top w:w="0" w:type="dxa"/>
            <w:left w:w="108" w:type="dxa"/>
            <w:bottom w:w="0" w:type="dxa"/>
            <w:right w:w="108" w:type="dxa"/>
          </w:tblCellMar>
        </w:tblPrEx>
        <w:trPr>
          <w:jc w:val="center"/>
        </w:trPr>
        <w:tc>
          <w:tcPr>
            <w:tcW w:w="1667" w:type="pct"/>
            <w:tcMar>
              <w:top w:w="80" w:type="dxa"/>
              <w:left w:w="80" w:type="dxa"/>
              <w:bottom w:w="80" w:type="dxa"/>
              <w:right w:w="80" w:type="dxa"/>
            </w:tcMar>
            <w:vAlign w:val="center"/>
          </w:tcPr>
          <w:p w14:paraId="20CA838C">
            <w:pPr>
              <w:spacing w:after="40"/>
              <w:jc w:val="center"/>
              <w:rPr>
                <w:b/>
                <w:sz w:val="24"/>
                <w:szCs w:val="24"/>
              </w:rPr>
            </w:pPr>
            <w:r>
              <w:rPr>
                <w:bCs/>
                <w:sz w:val="24"/>
                <w:szCs w:val="24"/>
              </w:rPr>
              <w:t>Qianping REN</w:t>
            </w:r>
            <w:r>
              <w:rPr>
                <w:b/>
                <w:sz w:val="24"/>
                <w:szCs w:val="24"/>
              </w:rPr>
              <w:t>*</w:t>
            </w:r>
          </w:p>
          <w:p w14:paraId="14255632">
            <w:pPr>
              <w:spacing w:after="0"/>
              <w:jc w:val="center"/>
              <w:rPr>
                <w:szCs w:val="20"/>
              </w:rPr>
            </w:pPr>
            <w:r>
              <w:rPr>
                <w:szCs w:val="20"/>
              </w:rPr>
              <w:t>Society Hub</w:t>
            </w:r>
          </w:p>
          <w:p w14:paraId="776888D0">
            <w:pPr>
              <w:spacing w:after="0"/>
              <w:jc w:val="center"/>
              <w:rPr>
                <w:szCs w:val="20"/>
              </w:rPr>
            </w:pPr>
            <w:r>
              <w:rPr>
                <w:szCs w:val="20"/>
              </w:rPr>
              <w:t>Hong Kong University of Science and Technology (Guangzhou)</w:t>
            </w:r>
          </w:p>
          <w:p w14:paraId="00558CCD">
            <w:pPr>
              <w:spacing w:after="0"/>
              <w:jc w:val="center"/>
              <w:rPr>
                <w:szCs w:val="20"/>
              </w:rPr>
            </w:pPr>
            <w:r>
              <w:rPr>
                <w:szCs w:val="20"/>
              </w:rPr>
              <w:t>Guangzhou, China</w:t>
            </w:r>
          </w:p>
          <w:p w14:paraId="187AEDB9">
            <w:pPr>
              <w:spacing w:after="0"/>
              <w:jc w:val="center"/>
            </w:pPr>
            <w:r>
              <w:rPr>
                <w:szCs w:val="20"/>
              </w:rPr>
              <w:t>qianpingren@hkust-gz.edu.cn</w:t>
            </w:r>
          </w:p>
        </w:tc>
        <w:tc>
          <w:tcPr>
            <w:tcW w:w="1667" w:type="pct"/>
            <w:tcMar>
              <w:top w:w="80" w:type="dxa"/>
              <w:left w:w="80" w:type="dxa"/>
              <w:bottom w:w="80" w:type="dxa"/>
              <w:right w:w="80" w:type="dxa"/>
            </w:tcMar>
            <w:vAlign w:val="center"/>
          </w:tcPr>
          <w:p w14:paraId="053D3E5D">
            <w:pPr>
              <w:spacing w:after="40"/>
              <w:jc w:val="center"/>
              <w:rPr>
                <w:bCs/>
                <w:sz w:val="24"/>
                <w:szCs w:val="24"/>
              </w:rPr>
            </w:pPr>
            <w:r>
              <w:rPr>
                <w:bCs/>
                <w:sz w:val="24"/>
                <w:szCs w:val="24"/>
              </w:rPr>
              <w:t>Yichang Xu</w:t>
            </w:r>
          </w:p>
          <w:p w14:paraId="198E26F1">
            <w:pPr>
              <w:spacing w:after="0"/>
              <w:jc w:val="center"/>
            </w:pPr>
            <w:r>
              <w:t>Lingnan College, Sun Yat-sen</w:t>
            </w:r>
          </w:p>
          <w:p w14:paraId="7D78A504">
            <w:pPr>
              <w:spacing w:after="0"/>
              <w:jc w:val="center"/>
            </w:pPr>
            <w:r>
              <w:t>University</w:t>
            </w:r>
          </w:p>
          <w:p w14:paraId="185F96DF">
            <w:pPr>
              <w:spacing w:after="0"/>
              <w:jc w:val="center"/>
            </w:pPr>
            <w:r>
              <w:t>Guangzhou, Guangdong, China</w:t>
            </w:r>
          </w:p>
          <w:p w14:paraId="496704F1">
            <w:pPr>
              <w:spacing w:after="0"/>
              <w:jc w:val="center"/>
              <w:rPr>
                <w:rFonts w:eastAsia="宋体"/>
                <w:lang w:eastAsia="zh-CN"/>
              </w:rPr>
            </w:pPr>
            <w:r>
              <w:t>xuych73@mail2.sysu.edu.cn</w:t>
            </w:r>
          </w:p>
        </w:tc>
        <w:tc>
          <w:tcPr>
            <w:tcW w:w="1667" w:type="pct"/>
          </w:tcPr>
          <w:p w14:paraId="5AEE2C72">
            <w:pPr>
              <w:spacing w:after="40"/>
              <w:jc w:val="center"/>
              <w:rPr>
                <w:bCs/>
                <w:sz w:val="24"/>
                <w:szCs w:val="24"/>
              </w:rPr>
            </w:pPr>
            <w:r>
              <w:rPr>
                <w:bCs/>
                <w:sz w:val="24"/>
                <w:szCs w:val="24"/>
              </w:rPr>
              <w:t>Yujing Yang</w:t>
            </w:r>
          </w:p>
          <w:p w14:paraId="7E2BFA63">
            <w:pPr>
              <w:spacing w:after="0"/>
              <w:jc w:val="center"/>
            </w:pPr>
            <w:r>
              <w:t>Lingnan College, Sun Yat-sen</w:t>
            </w:r>
          </w:p>
          <w:p w14:paraId="78319428">
            <w:pPr>
              <w:spacing w:after="0"/>
              <w:jc w:val="center"/>
            </w:pPr>
            <w:r>
              <w:t>University</w:t>
            </w:r>
          </w:p>
          <w:p w14:paraId="195BDEF8">
            <w:pPr>
              <w:spacing w:after="0"/>
              <w:jc w:val="center"/>
              <w:rPr>
                <w:rFonts w:eastAsia="宋体"/>
                <w:bCs/>
                <w:sz w:val="24"/>
                <w:szCs w:val="24"/>
                <w:lang w:eastAsia="zh-CN"/>
              </w:rPr>
            </w:pPr>
            <w:r>
              <w:t>Guangzhou, Guangdong, China Yangyj256@mail2.sysu.edu.cn</w:t>
            </w:r>
          </w:p>
        </w:tc>
      </w:tr>
    </w:tbl>
    <w:p w14:paraId="6A74635F">
      <w:pPr>
        <w:pStyle w:val="171"/>
        <w:rPr>
          <w:rFonts w:eastAsia="宋体"/>
          <w:color w:val="auto"/>
          <w:lang w:eastAsia="zh-CN"/>
          <w14:ligatures w14:val="standard"/>
        </w:rPr>
      </w:pPr>
    </w:p>
    <w:p w14:paraId="3B1CDCC8">
      <w:pPr>
        <w:pStyle w:val="168"/>
        <w:sectPr>
          <w:headerReference r:id="rId5" w:type="default"/>
          <w:footerReference r:id="rId6" w:type="default"/>
          <w:endnotePr>
            <w:numFmt w:val="decimal"/>
          </w:endnotePr>
          <w:pgSz w:w="12240" w:h="15840"/>
          <w:pgMar w:top="1500" w:right="1080" w:bottom="1600" w:left="1080" w:header="1080" w:footer="1080" w:gutter="0"/>
          <w:pgNumType w:start="1"/>
          <w:cols w:space="480" w:num="1"/>
          <w:titlePg/>
          <w:docGrid w:linePitch="360" w:charSpace="0"/>
        </w:sectPr>
      </w:pPr>
    </w:p>
    <w:p w14:paraId="5BF84179">
      <w:pPr>
        <w:spacing w:before="120" w:line="240" w:lineRule="auto"/>
        <w:rPr>
          <w:rFonts w:ascii="Linux Libertine" w:hAnsi="Linux Libertine" w:eastAsia="Calibri" w:cs="Linux Libertine"/>
          <w:b/>
          <w:sz w:val="22"/>
          <w:lang w:val="fr-FR"/>
          <w14:ligatures w14:val="standard"/>
        </w:rPr>
      </w:pPr>
      <w:r>
        <w:rPr>
          <w:rFonts w:ascii="Linux Libertine" w:hAnsi="Linux Libertine" w:eastAsia="Calibri" w:cs="Linux Libertine"/>
          <w:b/>
          <w:sz w:val="22"/>
          <w:lang w:val="fr-FR"/>
          <w14:ligatures w14:val="standard"/>
        </w:rPr>
        <w:t>ABSTRACT</w:t>
      </w:r>
    </w:p>
    <w:p w14:paraId="5DF4AC80">
      <w:pPr>
        <w:pStyle w:val="166"/>
        <w:rPr>
          <w:rFonts w:eastAsia="宋体"/>
          <w:lang w:eastAsia="zh-CN"/>
        </w:rPr>
      </w:pPr>
      <w:r>
        <w:rPr/>
        <w:t>Fine-tuning large language models for ESG (Environmental, Social, and Governance) tasks requires domain-specific instruction data, yet existing generation methods are weakly grounded in source material and rarely preserve provenance. We present VeritasCarbon, a data-centric system that transforms 17,721 ESG disclosure documents into 35,009 traceable instruction-response pairs. Its core component, Council of Domain Experts (CoDE), organizes 11 specialized expert agents in a four-layer hierarchy, adaptively selects up to K experts per chunk, coordinates sequential or parallel collaboration, and refines outputs through MetaExpert-guided feedback. Each retained pair keeps an explicit mapping to its source chunk, enabling auditing and lineage analysis. Using the same Qwen2-72B-Instruct backbone for all methods, CoDE on a 2,000-pair evaluation subset substantially outperforms direct prompting, Self-Instruct, and WizardLM-Evol, each run on 2,000 outputs under the finalized token-budget protocol: it achieves 4.0x higher ROUGE-L, 4.6x higher BLEU-4, 10.5x higher Distinct-3, and 14.6x higher domain relevance than the strongest baselines, while maintaining FactCheck of 0.9478 and near-perfect structural completeness. Ablations show that K = 3 offers the best quality-cost balance, parallel collaboration delivers the highest overall quality, and feedback remains necessary in the finalized CoDE protocol. VeritasCarbon demonstrates how provenance-aware, workflow-oriented instruction generation can support trustworthy domain adaptation in regulated ESG settings.</w:t>
      </w:r>
      <w:r>
        <w:rPr>
          <w:rFonts w:hint="eastAsia"/>
        </w:rPr>
      </w:r>
      <w:r/>
      <w:r>
        <w:rPr>
          <w:rFonts w:hint="eastAsia"/>
        </w:rPr>
      </w:r>
      <w:r/>
      <w:r>
        <w:rPr>
          <w:rFonts w:hint="eastAsia" w:eastAsia="宋体"/>
          <w:lang w:eastAsia="zh-CN"/>
        </w:rPr>
      </w:r>
      <w:r/>
    </w:p>
    <w:p w14:paraId="5E59D78A">
      <w:pPr>
        <w:pStyle w:val="175"/>
        <w:spacing w:before="220" w:after="0"/>
        <w:rPr>
          <w:sz w:val="16"/>
          <w:szCs w:val="16"/>
          <w:lang w:eastAsia="it-IT"/>
          <w14:ligatures w14:val="standard"/>
        </w:rPr>
      </w:pPr>
      <w:r>
        <w:rPr>
          <w:sz w:val="16"/>
          <w:szCs w:val="16"/>
          <w:lang w:eastAsia="it-IT"/>
          <w14:ligatures w14:val="standard"/>
        </w:rPr>
        <w:t>PVLDB Artifact Availability:</w:t>
      </w:r>
    </w:p>
    <w:p w14:paraId="08B7EE0C">
      <w:pPr>
        <w:pStyle w:val="166"/>
        <w:rPr>
          <w:rFonts w:eastAsia="宋体"/>
          <w:lang w:eastAsia="zh-CN"/>
        </w:rPr>
      </w:pPr>
      <w:r>
        <w:rPr>
          <w:rFonts w:eastAsia="宋体"/>
          <w:lang w:eastAsia="zh-CN"/>
        </w:rPr>
        <w:t>The source code</w:t>
      </w:r>
      <w:r>
        <w:rPr>
          <w:rFonts w:hint="eastAsia" w:eastAsia="宋体"/>
          <w:lang w:eastAsia="zh-CN"/>
        </w:rPr>
        <w:t xml:space="preserve"> and</w:t>
      </w:r>
      <w:r>
        <w:rPr>
          <w:rFonts w:eastAsia="宋体"/>
          <w:lang w:eastAsia="zh-CN"/>
        </w:rPr>
        <w:t xml:space="preserve"> data have been made available at https://github.com/YihanJIANG-lab/VeritasCarbon-VLDB2027</w:t>
      </w:r>
    </w:p>
    <w:p w14:paraId="0E8A99C6">
      <w:pPr>
        <w:pStyle w:val="28"/>
        <w:framePr w:w="4680" w:h="1441" w:hRule="exact" w:hSpace="187" w:wrap="around" w:vAnchor="page" w:hAnchor="page" w:x="1089" w:y="12601" w:anchorLock="1"/>
      </w:pPr>
      <w:r>
        <w:rPr>
          <w:vertAlign w:val="superscript"/>
        </w:rPr>
        <w:t>∗</w:t>
      </w:r>
      <w:r>
        <w:t>Article Title Footnote needs to be captured as Title Note</w:t>
      </w:r>
    </w:p>
    <w:p w14:paraId="7639EA4A">
      <w:pPr>
        <w:pStyle w:val="28"/>
        <w:framePr w:w="4680" w:h="1441" w:hRule="exact" w:hSpace="187" w:wrap="around" w:vAnchor="page" w:hAnchor="page" w:x="1089" w:y="12601" w:anchorLock="1"/>
      </w:pPr>
      <w:r>
        <w:rPr>
          <w:vertAlign w:val="superscript"/>
        </w:rPr>
        <w:t>†</w:t>
      </w:r>
      <w:r>
        <w:t>Author Footnote to be captured as Author Note</w:t>
      </w:r>
    </w:p>
    <w:p w14:paraId="26DDFCEA">
      <w:pPr>
        <w:pStyle w:val="177"/>
        <w:framePr w:w="4680" w:h="1441" w:hRule="exact" w:hSpace="187" w:wrap="around" w:vAnchor="page" w:hAnchor="page" w:x="1089" w:y="12601" w:anchorLock="1"/>
      </w:pPr>
      <w: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14:paraId="2D3C635E">
      <w:pPr>
        <w:pStyle w:val="167"/>
        <w:framePr w:w="4680" w:h="1441" w:hRule="exact" w:hSpace="187" w:wrap="around" w:vAnchor="page" w:hAnchor="page" w:x="1089" w:y="12601" w:anchorLock="1"/>
        <w:rPr>
          <w:i/>
        </w:rPr>
      </w:pPr>
      <w:r>
        <w:rPr>
          <w:i/>
        </w:rPr>
        <w:t>WOODSTOCK’18, June, 2018, El Paso, Texas USA</w:t>
      </w:r>
    </w:p>
    <w:p w14:paraId="00BCD622">
      <w:pPr>
        <w:pStyle w:val="177"/>
        <w:framePr w:w="4680" w:h="1441" w:hRule="exact" w:hSpace="187" w:wrap="around" w:vAnchor="page" w:hAnchor="page" w:x="1089" w:y="12601" w:anchorLock="1"/>
      </w:pPr>
      <w:r>
        <w:t>© 2018 Copyright held by the owner/author(s). 978-1-4503-0000-0/2005/06</w:t>
      </w:r>
    </w:p>
    <w:p w14:paraId="676F86AE">
      <w:pPr>
        <w:framePr w:w="4680" w:h="1441" w:hRule="exact" w:hSpace="187" w:wrap="around" w:vAnchor="page" w:hAnchor="page" w:x="1089" w:y="12601" w:anchorLock="1"/>
        <w:rPr>
          <w:iCs/>
          <w14:ligatures w14:val="standard"/>
        </w:rPr>
      </w:pPr>
      <w:r>
        <w:t>https://doi.org/10.1145/1234567890</w:t>
      </w:r>
    </w:p>
    <w:p w14:paraId="22C33360">
      <w:pPr>
        <w:pStyle w:val="168"/>
      </w:pPr>
      <w:r>
        <w:rPr>
          <w:rStyle w:val="179"/>
          <w:b/>
        </w:rPr>
        <w:t>1</w:t>
      </w:r>
      <w:r>
        <w:t> INTRODUCTION</w:t>
      </w:r>
    </w:p>
    <w:p w14:paraId="3AB66FAC">
      <w:pPr>
        <w:rPr>
          <w:color w:val="000000" w:themeColor="text1"/>
          <w14:textFill>
            <w14:solidFill>
              <w14:schemeClr w14:val="tx1"/>
            </w14:solidFill>
          </w14:textFill>
        </w:rPr>
      </w:pPr>
      <w:r>
        <w:rPr>
          <w:color w:val="000000" w:themeColor="text1"/>
          <w14:textFill>
            <w14:solidFill>
              <w14:schemeClr w14:val="tx1"/>
            </w14:solidFill>
          </w14:textFill>
        </w:rPr>
        <w:t>In recent years, rising global temperatures, widening social inequality, and high-profile corporate governance failures have intensified pressure on businesses to operate responsibly. Investors, regulators, and the public increasingly demand transparent reporting on environmental impact, social responsibility, and governance practices. As a result, Environmental, Social, and Governance (ESG) disclosure and carbon emissions accounting have become critical for organizations facing growing regulatory scrutiny and societal expectations. Accurate, transparent, and auditable reporting in these domains is essential for compliance, risk management, and fostering stakeholder trust. Against this backdrop,</w:t>
      </w:r>
      <w:r>
        <w:rPr>
          <w:rFonts w:hint="eastAsia" w:eastAsia="宋体"/>
          <w:color w:val="000000" w:themeColor="text1"/>
          <w:lang w:eastAsia="zh-CN"/>
          <w14:textFill>
            <w14:solidFill>
              <w14:schemeClr w14:val="tx1"/>
            </w14:solidFill>
          </w14:textFill>
        </w:rPr>
        <w:t xml:space="preserve"> r</w:t>
      </w:r>
      <w:r>
        <w:rPr>
          <w:color w:val="000000" w:themeColor="text1"/>
          <w14:textFill>
            <w14:solidFill>
              <w14:schemeClr w14:val="tx1"/>
            </w14:solidFill>
          </w14:textFill>
        </w:rPr>
        <w:t xml:space="preserve">ecent advances in large language models (LLMs) have shown promise in automating complex tasks across specialized domains such as financial analysis, risk management, and corporate compliance </w:t>
      </w:r>
      <w:r>
        <w:fldChar w:fldCharType="begin"/>
      </w:r>
      <w:r>
        <w:instrText xml:space="preserve">HYPERLINK \l "ref_21" \h</w:instrText>
      </w:r>
      <w:r>
        <w:fldChar w:fldCharType="separate"/>
      </w:r>
      <w:r>
        <w:rPr>
          <w:color w:val="000000" w:themeColor="text1"/>
          <w14:textFill>
            <w14:solidFill>
              <w14:schemeClr w14:val="tx1"/>
            </w14:solidFill>
          </w14:textFill>
        </w:rPr>
        <w:t>[21</w:t>
      </w:r>
      <w:r>
        <w:fldChar w:fldCharType="end"/>
      </w:r>
      <w:r>
        <w:rPr>
          <w:rFonts w:hint="eastAsia" w:eastAsia="宋体"/>
          <w:lang w:eastAsia="zh-CN"/>
        </w:rPr>
        <w:t xml:space="preserve">, </w:t>
      </w:r>
      <w:r>
        <w:fldChar w:fldCharType="begin"/>
      </w:r>
      <w:r>
        <w:instrText xml:space="preserve">HYPERLINK \l "ref_53" \h</w:instrText>
      </w:r>
      <w:r>
        <w:fldChar w:fldCharType="separate"/>
      </w:r>
      <w:r>
        <w:rPr>
          <w:color w:val="000000" w:themeColor="text1"/>
          <w14:textFill>
            <w14:solidFill>
              <w14:schemeClr w14:val="tx1"/>
            </w14:solidFill>
          </w14:textFill>
        </w:rPr>
        <w:t>53</w:t>
      </w:r>
      <w:r>
        <w:fldChar w:fldCharType="end"/>
      </w:r>
      <w:r>
        <w:rPr>
          <w:rFonts w:hint="eastAsia" w:eastAsia="宋体"/>
          <w:lang w:eastAsia="zh-CN"/>
        </w:rPr>
        <w:t xml:space="preserve">, </w:t>
      </w:r>
      <w:r>
        <w:fldChar w:fldCharType="begin"/>
      </w:r>
      <w:r>
        <w:instrText xml:space="preserve">HYPERLINK \l "ref_59" \h</w:instrText>
      </w:r>
      <w:r>
        <w:fldChar w:fldCharType="separate"/>
      </w:r>
      <w:r>
        <w:rPr>
          <w:color w:val="000000" w:themeColor="text1"/>
          <w14:textFill>
            <w14:solidFill>
              <w14:schemeClr w14:val="tx1"/>
            </w14:solidFill>
          </w14:textFill>
        </w:rPr>
        <w:t>59]</w:t>
      </w:r>
      <w:r>
        <w:fldChar w:fldCharType="end"/>
      </w:r>
      <w:r>
        <w:rPr>
          <w:color w:val="000000" w:themeColor="text1"/>
          <w14:textFill>
            <w14:solidFill>
              <w14:schemeClr w14:val="tx1"/>
            </w14:solidFill>
          </w14:textFill>
        </w:rPr>
        <w:t>. However, deploying LLMs in regulated environments introduces unique challenges that go beyond those encountered in open-domain applications.</w:t>
      </w:r>
    </w:p>
    <w:p w14:paraId="03E6E996">
      <w:pPr>
        <w:rPr>
          <w:color w:val="000000" w:themeColor="text1"/>
          <w14:textFill>
            <w14:solidFill>
              <w14:schemeClr w14:val="tx1"/>
            </w14:solidFill>
          </w14:textFill>
        </w:rPr>
      </w:pPr>
      <w:r>
        <w:rPr>
          <w:color w:val="000000" w:themeColor="text1"/>
          <w14:textFill>
            <w14:solidFill>
              <w14:schemeClr w14:val="tx1"/>
            </w14:solidFill>
          </w14:textFill>
        </w:rPr>
        <w:t xml:space="preserve">While prior research demonstrates that LLM performance depends not only on model scale but also on the quality of prompt data and fine-tuning methods </w:t>
      </w:r>
      <w:r>
        <w:fldChar w:fldCharType="begin"/>
      </w:r>
      <w:r>
        <w:instrText xml:space="preserve">HYPERLINK \l "ref_3" \h</w:instrText>
      </w:r>
      <w:r>
        <w:fldChar w:fldCharType="separate"/>
      </w:r>
      <w:r>
        <w:rPr>
          <w:color w:val="000000" w:themeColor="text1"/>
          <w14:textFill>
            <w14:solidFill>
              <w14:schemeClr w14:val="tx1"/>
            </w14:solidFill>
          </w14:textFill>
        </w:rPr>
        <w:t>[3</w:t>
      </w:r>
      <w:r>
        <w:fldChar w:fldCharType="end"/>
      </w:r>
      <w:r>
        <w:rPr>
          <w:rFonts w:hint="eastAsia" w:eastAsia="宋体"/>
          <w:lang w:eastAsia="zh-CN"/>
        </w:rPr>
        <w:t xml:space="preserve">, </w:t>
      </w:r>
      <w:r>
        <w:fldChar w:fldCharType="begin"/>
      </w:r>
      <w:r>
        <w:instrText xml:space="preserve">HYPERLINK \l "ref_39" \h</w:instrText>
      </w:r>
      <w:r>
        <w:fldChar w:fldCharType="separate"/>
      </w:r>
      <w:r>
        <w:rPr>
          <w:color w:val="000000" w:themeColor="text1"/>
          <w14:textFill>
            <w14:solidFill>
              <w14:schemeClr w14:val="tx1"/>
            </w14:solidFill>
          </w14:textFill>
        </w:rPr>
        <w:t>39</w:t>
      </w:r>
      <w:r>
        <w:fldChar w:fldCharType="end"/>
      </w:r>
      <w:r>
        <w:rPr>
          <w:rFonts w:hint="eastAsia" w:eastAsia="宋体"/>
          <w:lang w:eastAsia="zh-CN"/>
        </w:rPr>
        <w:t>,</w:t>
      </w:r>
      <w:r>
        <w:fldChar w:fldCharType="begin"/>
      </w:r>
      <w:r>
        <w:instrText xml:space="preserve">HYPERLINK \l "ref_50" \h</w:instrText>
      </w:r>
      <w:r>
        <w:fldChar w:fldCharType="separate"/>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50]</w:t>
      </w:r>
      <w:r>
        <w:fldChar w:fldCharType="end"/>
      </w:r>
      <w:r>
        <w:rPr>
          <w:color w:val="000000" w:themeColor="text1"/>
          <w14:textFill>
            <w14:solidFill>
              <w14:schemeClr w14:val="tx1"/>
            </w14:solidFill>
          </w14:textFill>
        </w:rPr>
        <w:t>, these findings primarily reflect open-domain settings. The instruction tuning paradigm</w:t>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where models are fine-tuned on (instruction, output) pairs</w:t>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 xml:space="preserve">has been extensively investigated to align LLM behavior with user intent </w:t>
      </w:r>
      <w:r>
        <w:fldChar w:fldCharType="begin"/>
      </w:r>
      <w:r>
        <w:instrText xml:space="preserve"> HYPERLINK \l "ref_61" \h </w:instrText>
      </w:r>
      <w:r>
        <w:fldChar w:fldCharType="separate"/>
      </w:r>
      <w:r>
        <w:rPr>
          <w:color w:val="000000" w:themeColor="text1"/>
          <w14:textFill>
            <w14:solidFill>
              <w14:schemeClr w14:val="tx1"/>
            </w14:solidFill>
          </w14:textFill>
        </w:rPr>
        <w:t>[61]</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Reinforcement learning from human feedback (RLHF) </w:t>
      </w:r>
      <w:r>
        <w:fldChar w:fldCharType="begin"/>
      </w:r>
      <w:r>
        <w:instrText xml:space="preserve"> HYPERLINK \l "ref_32" \h </w:instrText>
      </w:r>
      <w:r>
        <w:fldChar w:fldCharType="separate"/>
      </w:r>
      <w:r>
        <w:rPr>
          <w:color w:val="000000" w:themeColor="text1"/>
          <w14:textFill>
            <w14:solidFill>
              <w14:schemeClr w14:val="tx1"/>
            </w14:solidFill>
          </w14:textFill>
        </w:rPr>
        <w:t>[32]</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and direct preference optimization (DPO) </w:t>
      </w:r>
      <w:r>
        <w:fldChar w:fldCharType="begin"/>
      </w:r>
      <w:r>
        <w:instrText xml:space="preserve"> HYPERLINK \l "ref_36" \h </w:instrText>
      </w:r>
      <w:r>
        <w:fldChar w:fldCharType="separate"/>
      </w:r>
      <w:r>
        <w:rPr>
          <w:color w:val="000000" w:themeColor="text1"/>
          <w14:textFill>
            <w14:solidFill>
              <w14:schemeClr w14:val="tx1"/>
            </w14:solidFill>
          </w14:textFill>
        </w:rPr>
        <w:t>[36]</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have further advanced the alignment of LLMs with human preferences. In such contexts, models are often evaluated on their ability to generate plausible and diverse responses, and recent studies suggest that even a small number of high-quality examples can outperform large-scale noisy datasets </w:t>
      </w:r>
      <w:r>
        <w:fldChar w:fldCharType="begin"/>
      </w:r>
      <w:r>
        <w:instrText xml:space="preserve"> HYPERLINK \l "ref_64" \h </w:instrText>
      </w:r>
      <w:r>
        <w:fldChar w:fldCharType="separate"/>
      </w:r>
      <w:r>
        <w:rPr>
          <w:color w:val="000000" w:themeColor="text1"/>
          <w14:textFill>
            <w14:solidFill>
              <w14:schemeClr w14:val="tx1"/>
            </w14:solidFill>
          </w14:textFill>
        </w:rPr>
        <w:t>[64]</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In contrast, regulated domains like ESG disclosure and carbon emissions accounting demand strict adherence to methodological rigor, traceable reasoning, and numerical consistency. For example, organizations must justify their carbon accounting methods, define clear boundaries, and ensure that reported figures are auditable and reproducible </w:t>
      </w:r>
      <w:r>
        <w:fldChar w:fldCharType="begin"/>
      </w:r>
      <w:r>
        <w:instrText xml:space="preserve">HYPERLINK \l "ref_2" \h</w:instrText>
      </w:r>
      <w:r>
        <w:fldChar w:fldCharType="separate"/>
      </w:r>
      <w:r>
        <w:rPr>
          <w:color w:val="000000" w:themeColor="text1"/>
          <w14:textFill>
            <w14:solidFill>
              <w14:schemeClr w14:val="tx1"/>
            </w14:solidFill>
          </w14:textFill>
        </w:rPr>
        <w:t>[2</w:t>
      </w:r>
      <w:r>
        <w:fldChar w:fldCharType="end"/>
      </w:r>
      <w:r>
        <w:rPr>
          <w:rFonts w:hint="eastAsia" w:eastAsia="宋体"/>
          <w:lang w:eastAsia="zh-CN"/>
        </w:rPr>
        <w:t>,</w:t>
      </w:r>
      <w:r>
        <w:fldChar w:fldCharType="begin"/>
      </w:r>
      <w:r>
        <w:instrText xml:space="preserve">HYPERLINK \l "ref_14" \h</w:instrText>
      </w:r>
      <w:r>
        <w:fldChar w:fldCharType="separate"/>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14</w:t>
      </w:r>
      <w:r>
        <w:fldChar w:fldCharType="end"/>
      </w:r>
      <w:r>
        <w:fldChar w:fldCharType="begin"/>
      </w:r>
      <w:r>
        <w:instrText xml:space="preserve">HYPERLINK \l "ref_23" \h</w:instrText>
      </w:r>
      <w:r>
        <w:fldChar w:fldCharType="separate"/>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23]</w:t>
      </w:r>
      <w:r>
        <w:fldChar w:fldCharType="end"/>
      </w:r>
      <w:r>
        <w:rPr>
          <w:color w:val="000000" w:themeColor="text1"/>
          <w14:textFill>
            <w14:solidFill>
              <w14:schemeClr w14:val="tx1"/>
            </w14:solidFill>
          </w14:textFill>
        </w:rPr>
        <w:t xml:space="preserve">. </w:t>
      </w:r>
      <w:r>
        <w:rPr>
          <w:rFonts w:hint="eastAsia" w:eastAsia="宋体"/>
          <w:color w:val="000000" w:themeColor="text1"/>
          <w:lang w:eastAsia="zh-CN"/>
          <w14:textFill>
            <w14:solidFill>
              <w14:schemeClr w14:val="tx1"/>
            </w14:solidFill>
          </w14:textFill>
        </w:rPr>
        <w:t xml:space="preserve">Therefore, </w:t>
      </w:r>
      <w:r>
        <w:rPr>
          <w:color w:val="000000" w:themeColor="text1"/>
          <w14:textFill>
            <w14:solidFill>
              <w14:schemeClr w14:val="tx1"/>
            </w14:solidFill>
          </w14:textFill>
        </w:rPr>
        <w:t>although existing LLMs excel at open-ended question answering, they frequently yield unstable or inconsistent results when applied to regulatory scenarios where traceability and methodological consistency are paramount.</w:t>
      </w:r>
    </w:p>
    <w:p w14:paraId="4C9BD9A3">
      <w:pPr>
        <w:rPr>
          <w:color w:val="000000" w:themeColor="text1"/>
          <w14:textFill>
            <w14:solidFill>
              <w14:schemeClr w14:val="tx1"/>
            </w14:solidFill>
          </w14:textFill>
        </w:rPr>
      </w:pPr>
      <w:r>
        <w:rPr>
          <w:color w:val="000000" w:themeColor="text1"/>
          <w14:textFill>
            <w14:solidFill>
              <w14:schemeClr w14:val="tx1"/>
            </w14:solidFill>
          </w14:textFill>
        </w:rPr>
        <w:t xml:space="preserve">A key barrier to reliable LLM deployment in these settings is the lack of high-quality, instruction-tuning data that enforces source binding and methodological fidelity. Mainstream instruction data generation techniques, such as bootstrapping and model distillation </w:t>
      </w:r>
      <w:r>
        <w:fldChar w:fldCharType="begin"/>
      </w:r>
      <w:r>
        <w:instrText xml:space="preserve">HYPERLINK \l "ref_46" \h</w:instrText>
      </w:r>
      <w:r>
        <w:fldChar w:fldCharType="separate"/>
      </w:r>
      <w:r>
        <w:rPr>
          <w:color w:val="000000" w:themeColor="text1"/>
          <w14:textFill>
            <w14:solidFill>
              <w14:schemeClr w14:val="tx1"/>
            </w14:solidFill>
          </w14:textFill>
        </w:rPr>
        <w:t>[46</w:t>
      </w:r>
      <w:r>
        <w:fldChar w:fldCharType="end"/>
      </w:r>
      <w:r>
        <w:fldChar w:fldCharType="begin"/>
      </w:r>
      <w:r>
        <w:instrText xml:space="preserve">HYPERLINK \l "ref_56" \h</w:instrText>
      </w:r>
      <w:r>
        <w:fldChar w:fldCharType="separate"/>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56]</w:t>
      </w:r>
      <w:r>
        <w:fldChar w:fldCharType="end"/>
      </w:r>
      <w:r>
        <w:rPr>
          <w:color w:val="000000" w:themeColor="text1"/>
          <w14:textFill>
            <w14:solidFill>
              <w14:schemeClr w14:val="tx1"/>
            </w14:solidFill>
          </w14:textFill>
        </w:rPr>
        <w:t xml:space="preserve">, frequently neglect the necessity for explicit mapping between generated instructions and their source documents, as well as the requirement for consistent calculation paths. Representative distillation-based methods, including Alpaca </w:t>
      </w:r>
      <w:r>
        <w:fldChar w:fldCharType="begin"/>
      </w:r>
      <w:r>
        <w:instrText xml:space="preserve"> HYPERLINK \l "ref_41" \h </w:instrText>
      </w:r>
      <w:r>
        <w:fldChar w:fldCharType="separate"/>
      </w:r>
      <w:r>
        <w:rPr>
          <w:color w:val="000000" w:themeColor="text1"/>
          <w14:textFill>
            <w14:solidFill>
              <w14:schemeClr w14:val="tx1"/>
            </w14:solidFill>
          </w14:textFill>
        </w:rPr>
        <w:t>[41]</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and Orca </w:t>
      </w:r>
      <w:r>
        <w:fldChar w:fldCharType="begin"/>
      </w:r>
      <w:r>
        <w:instrText xml:space="preserve"> HYPERLINK \l "ref_31" \h </w:instrText>
      </w:r>
      <w:r>
        <w:fldChar w:fldCharType="separate"/>
      </w:r>
      <w:r>
        <w:rPr>
          <w:color w:val="000000" w:themeColor="text1"/>
          <w14:textFill>
            <w14:solidFill>
              <w14:schemeClr w14:val="tx1"/>
            </w14:solidFill>
          </w14:textFill>
        </w:rPr>
        <w:t>[31]</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demonstrate that teacher-student pipelines can efficiently produce large-scale instruction data from proprietary models such as ChatGPT, yet the generated corpora lack provenance metadata linking outputs to source evidence. Open-source chat models such as Vicuna </w:t>
      </w:r>
      <w:r>
        <w:fldChar w:fldCharType="begin"/>
      </w:r>
      <w:r>
        <w:instrText xml:space="preserve"> HYPERLINK \l "ref_8" \h </w:instrText>
      </w:r>
      <w: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and Baize </w:t>
      </w:r>
      <w:r>
        <w:fldChar w:fldCharType="begin"/>
      </w:r>
      <w:r>
        <w:instrText xml:space="preserve"> HYPERLINK \l "ref_57" \h </w:instrText>
      </w:r>
      <w:r>
        <w:fldChar w:fldCharType="separate"/>
      </w:r>
      <w:r>
        <w:rPr>
          <w:color w:val="000000" w:themeColor="text1"/>
          <w14:textFill>
            <w14:solidFill>
              <w14:schemeClr w14:val="tx1"/>
            </w14:solidFill>
          </w14:textFill>
        </w:rPr>
        <w:t>[57]</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further confirm the viability of distillation but inherit the same traceability limitations. Recent work on automatic data selection for alignment has shown that filtering instruction data by quality criteria significantly improves model performance </w:t>
      </w:r>
      <w:r>
        <w:fldChar w:fldCharType="begin"/>
      </w:r>
      <w:r>
        <w:instrText xml:space="preserve">HYPERLINK \l "ref_5" \h</w:instrText>
      </w:r>
      <w:r>
        <w:fldChar w:fldCharType="separate"/>
      </w:r>
      <w:r>
        <w:rPr>
          <w:color w:val="000000" w:themeColor="text1"/>
          <w14:textFill>
            <w14:solidFill>
              <w14:schemeClr w14:val="tx1"/>
            </w14:solidFill>
          </w14:textFill>
        </w:rPr>
        <w:t>[5</w:t>
      </w:r>
      <w:r>
        <w:rPr>
          <w:rFonts w:hint="eastAsia" w:eastAsia="宋体"/>
          <w:color w:val="000000" w:themeColor="text1"/>
          <w:lang w:eastAsia="zh-CN"/>
          <w14:textFill>
            <w14:solidFill>
              <w14:schemeClr w14:val="tx1"/>
            </w14:solidFill>
          </w14:textFill>
        </w:rPr>
        <w:t>,</w:t>
      </w:r>
      <w:r>
        <w:fldChar w:fldCharType="end"/>
      </w:r>
      <w:r>
        <w:fldChar w:fldCharType="begin"/>
      </w:r>
      <w:r>
        <w:instrText xml:space="preserve">HYPERLINK \l "ref_28" \h</w:instrText>
      </w:r>
      <w:r>
        <w:fldChar w:fldCharType="separate"/>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28]</w:t>
      </w:r>
      <w:r>
        <w:fldChar w:fldCharType="end"/>
      </w:r>
      <w:r>
        <w:rPr>
          <w:color w:val="000000" w:themeColor="text1"/>
          <w14:textFill>
            <w14:solidFill>
              <w14:schemeClr w14:val="tx1"/>
            </w14:solidFill>
          </w14:textFill>
        </w:rPr>
        <w:t xml:space="preserve">, while self-alignment methods </w:t>
      </w:r>
      <w:r>
        <w:fldChar w:fldCharType="begin"/>
      </w:r>
      <w:r>
        <w:instrText xml:space="preserve"> HYPERLINK \l "ref_26" \h </w:instrText>
      </w:r>
      <w: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and unnatural instruction generation </w:t>
      </w:r>
      <w:r>
        <w:fldChar w:fldCharType="begin"/>
      </w:r>
      <w:r>
        <w:instrText xml:space="preserve"> HYPERLINK \l "ref_20" \h </w:instrText>
      </w:r>
      <w: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explore alternative paradigms for reducing human annotation cost. In ESG and carbon accounting, divergent methodological choices can lead to substantially different outcomes. Without instruction data that captures these nuances and maintains source traceability, models risk learning unconstrained or ambiguous knowledge. Thus, there is a pressing need for instruction data generation frameworks that ensure both semantic completeness and traceable source mapping.</w:t>
      </w:r>
    </w:p>
    <w:p w14:paraId="11F91A42">
      <w:pPr>
        <w:rPr>
          <w:color w:val="000000" w:themeColor="text1"/>
          <w14:textFill>
            <w14:solidFill>
              <w14:schemeClr w14:val="tx1"/>
            </w14:solidFill>
          </w14:textFill>
        </w:rPr>
      </w:pPr>
      <w:r>
        <w:rPr>
          <w:color w:val="000000" w:themeColor="text1"/>
          <w14:textFill>
            <w14:solidFill>
              <w14:schemeClr w14:val="tx1"/>
            </w14:solidFill>
          </w14:textFill>
        </w:rPr>
        <w:t xml:space="preserve">From a data management perspective, constructing high-quality instruction data for ESG applications is a multi-stage transformation process. Raw ESG disclosure documents are typically lengthy and heterogeneous, blending narrative text, tabular data, and methodological explanations. Effective instruction construction requires (1) segmenting the corpus into semantically complete knowledge units, and (2) ensuring that each generated instruction can be mapped back to its originating text fragment for auditing and interpretability. This traceability requirement is closely related to data provenance research </w:t>
      </w:r>
      <w:r>
        <w:fldChar w:fldCharType="begin"/>
      </w:r>
      <w:r>
        <w:instrText xml:space="preserve">HYPERLINK \l "ref_7" \h</w:instrText>
      </w:r>
      <w:r>
        <w:fldChar w:fldCharType="separate"/>
      </w:r>
      <w:r>
        <w:rPr>
          <w:color w:val="000000" w:themeColor="text1"/>
          <w14:textFill>
            <w14:solidFill>
              <w14:schemeClr w14:val="tx1"/>
            </w14:solidFill>
          </w14:textFill>
        </w:rPr>
        <w:t>[7</w:t>
      </w:r>
      <w:r>
        <w:fldChar w:fldCharType="end"/>
      </w:r>
      <w:r>
        <w:rPr>
          <w:rFonts w:hint="eastAsia" w:eastAsia="宋体"/>
          <w:lang w:eastAsia="zh-CN"/>
        </w:rPr>
        <w:t>,</w:t>
      </w:r>
      <w:r>
        <w:fldChar w:fldCharType="begin"/>
      </w:r>
      <w:r>
        <w:instrText xml:space="preserve">HYPERLINK \l "ref_18" \h</w:instrText>
      </w:r>
      <w:r>
        <w:fldChar w:fldCharType="separate"/>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18]</w:t>
      </w:r>
      <w:r>
        <w:fldChar w:fldCharType="end"/>
      </w:r>
      <w:r>
        <w:rPr>
          <w:color w:val="000000" w:themeColor="text1"/>
          <w14:textFill>
            <w14:solidFill>
              <w14:schemeClr w14:val="tx1"/>
            </w14:solidFill>
          </w14:textFill>
        </w:rPr>
        <w:t xml:space="preserve">, which emphasizes the importance of tracking data transformations to support validation and compliance. The data-centric AI paradigm </w:t>
      </w:r>
      <w:r>
        <w:fldChar w:fldCharType="begin"/>
      </w:r>
      <w:r>
        <w:instrText xml:space="preserve">HYPERLINK \l "ref_52" \h</w:instrText>
      </w:r>
      <w:r>
        <w:fldChar w:fldCharType="separate"/>
      </w:r>
      <w:r>
        <w:rPr>
          <w:color w:val="000000" w:themeColor="text1"/>
          <w14:textFill>
            <w14:solidFill>
              <w14:schemeClr w14:val="tx1"/>
            </w14:solidFill>
          </w14:textFill>
        </w:rPr>
        <w:t>[52</w:t>
      </w:r>
      <w:r>
        <w:fldChar w:fldCharType="end"/>
      </w:r>
      <w:r>
        <w:rPr>
          <w:rFonts w:hint="eastAsia" w:eastAsia="宋体"/>
          <w:lang w:eastAsia="zh-CN"/>
        </w:rPr>
        <w:t xml:space="preserve">, </w:t>
      </w:r>
      <w:r>
        <w:fldChar w:fldCharType="begin"/>
      </w:r>
      <w:r>
        <w:instrText xml:space="preserve">HYPERLINK \l "ref_60" \h</w:instrText>
      </w:r>
      <w:r>
        <w:fldChar w:fldCharType="separate"/>
      </w:r>
      <w:r>
        <w:rPr>
          <w:color w:val="000000" w:themeColor="text1"/>
          <w14:textFill>
            <w14:solidFill>
              <w14:schemeClr w14:val="tx1"/>
            </w14:solidFill>
          </w14:textFill>
        </w:rPr>
        <w:t>60]</w:t>
      </w:r>
      <w:r>
        <w:fldChar w:fldCharType="end"/>
      </w:r>
      <w:r>
        <w:rPr>
          <w:color w:val="000000" w:themeColor="text1"/>
          <w14:textFill>
            <w14:solidFill>
              <w14:schemeClr w14:val="tx1"/>
            </w14:solidFill>
          </w14:textFill>
        </w:rPr>
        <w:t xml:space="preserve"> further highlights the importance of systematically managing training data, including documentation </w:t>
      </w:r>
      <w:r>
        <w:fldChar w:fldCharType="begin"/>
      </w:r>
      <w:r>
        <w:instrText xml:space="preserve">HYPERLINK \l "ref_1" \h</w:instrText>
      </w:r>
      <w:r>
        <w:fldChar w:fldCharType="separate"/>
      </w:r>
      <w:r>
        <w:rPr>
          <w:color w:val="000000" w:themeColor="text1"/>
          <w14:textFill>
            <w14:solidFill>
              <w14:schemeClr w14:val="tx1"/>
            </w14:solidFill>
          </w14:textFill>
        </w:rPr>
        <w:t>[1</w:t>
      </w:r>
      <w:r>
        <w:fldChar w:fldCharType="end"/>
      </w:r>
      <w:r>
        <w:rPr>
          <w:rFonts w:hint="eastAsia" w:eastAsia="宋体"/>
          <w:lang w:eastAsia="zh-CN"/>
        </w:rPr>
        <w:t>,</w:t>
      </w:r>
      <w:r>
        <w:fldChar w:fldCharType="begin"/>
      </w:r>
      <w:r>
        <w:instrText xml:space="preserve">HYPERLINK \l "ref_15" \h</w:instrText>
      </w:r>
      <w:r>
        <w:fldChar w:fldCharType="separate"/>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15]</w:t>
      </w:r>
      <w:r>
        <w:fldChar w:fldCharType="end"/>
      </w:r>
      <w:r>
        <w:rPr>
          <w:color w:val="000000" w:themeColor="text1"/>
          <w14:textFill>
            <w14:solidFill>
              <w14:schemeClr w14:val="tx1"/>
            </w14:solidFill>
          </w14:textFill>
        </w:rPr>
        <w:t xml:space="preserve">, quality assessment </w:t>
      </w:r>
      <w:r>
        <w:fldChar w:fldCharType="begin"/>
      </w:r>
      <w:r>
        <w:instrText xml:space="preserve">HYPERLINK \l "ref_22" \h</w:instrText>
      </w:r>
      <w:r>
        <w:fldChar w:fldCharType="separate"/>
      </w:r>
      <w:r>
        <w:rPr>
          <w:color w:val="000000" w:themeColor="text1"/>
          <w14:textFill>
            <w14:solidFill>
              <w14:schemeClr w14:val="tx1"/>
            </w14:solidFill>
          </w14:textFill>
        </w:rPr>
        <w:t>[22</w:t>
      </w:r>
      <w:r>
        <w:rPr>
          <w:rFonts w:hint="eastAsia" w:eastAsia="宋体"/>
          <w:color w:val="000000" w:themeColor="text1"/>
          <w:lang w:eastAsia="zh-CN"/>
          <w14:textFill>
            <w14:solidFill>
              <w14:schemeClr w14:val="tx1"/>
            </w14:solidFill>
          </w14:textFill>
        </w:rPr>
        <w:t xml:space="preserve">, </w:t>
      </w:r>
      <w:r>
        <w:fldChar w:fldCharType="end"/>
      </w:r>
      <w:r>
        <w:fldChar w:fldCharType="begin"/>
      </w:r>
      <w:r>
        <w:instrText xml:space="preserve">HYPERLINK \l "ref_38" \h</w:instrText>
      </w:r>
      <w:r>
        <w:fldChar w:fldCharType="separate"/>
      </w:r>
      <w:r>
        <w:rPr>
          <w:color w:val="000000" w:themeColor="text1"/>
          <w14:textFill>
            <w14:solidFill>
              <w14:schemeClr w14:val="tx1"/>
            </w14:solidFill>
          </w14:textFill>
        </w:rPr>
        <w:t>38]</w:t>
      </w:r>
      <w:r>
        <w:fldChar w:fldCharType="end"/>
      </w:r>
      <w:r>
        <w:rPr>
          <w:color w:val="000000" w:themeColor="text1"/>
          <w14:textFill>
            <w14:solidFill>
              <w14:schemeClr w14:val="tx1"/>
            </w14:solidFill>
          </w14:textFill>
        </w:rPr>
        <w:t>, and lineage tracking</w:t>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 xml:space="preserve">is crucial for building reliable AI systems. Model cards </w:t>
      </w:r>
      <w:r>
        <w:fldChar w:fldCharType="begin"/>
      </w:r>
      <w:r>
        <w:instrText xml:space="preserve"> HYPERLINK \l "ref_30" \h </w:instrText>
      </w:r>
      <w:r>
        <w:fldChar w:fldCharType="separate"/>
      </w:r>
      <w:r>
        <w:rPr>
          <w:color w:val="000000" w:themeColor="text1"/>
          <w14:textFill>
            <w14:solidFill>
              <w14:schemeClr w14:val="tx1"/>
            </w14:solidFill>
          </w14:textFill>
        </w:rPr>
        <w:t>[30]</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and datasheets </w:t>
      </w:r>
      <w:r>
        <w:fldChar w:fldCharType="begin"/>
      </w:r>
      <w:r>
        <w:instrText xml:space="preserve"> HYPERLINK \l "ref_15" \h </w:instrText>
      </w:r>
      <w: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provide complementary documentation frameworks for ensuring transparency in model development and dataset construction. Without clear definitions of intermediate data artifacts and their provenance, the instruction generation process becomes opaque and difficult to audit.</w:t>
      </w:r>
    </w:p>
    <w:p w14:paraId="1C7119DD">
      <w:pPr>
        <w:rPr>
          <w:color w:val="000000" w:themeColor="text1"/>
          <w14:textFill>
            <w14:solidFill>
              <w14:schemeClr w14:val="tx1"/>
            </w14:solidFill>
          </w14:textFill>
        </w:rPr>
      </w:pPr>
      <w:r>
        <w:rPr>
          <w:color w:val="000000" w:themeColor="text1"/>
          <w14:textFill>
            <w14:solidFill>
              <w14:schemeClr w14:val="tx1"/>
            </w14:solidFill>
          </w14:textFill>
        </w:rPr>
        <w:t xml:space="preserve">To address these challenges, we introduce VeritasCarbon, a system designed to generate high-quality, traceable instruction data for ESG disclosure and carbon emissions accounting within mandatory disclosure and compliance audit environments. VeritasCarbon formalizes instruction construction as an optimization problem that balances data quality and diversity under explicit source constraints. The system processes a raw ESG corpus through a hierarchical pipeline comprising four stages: (1) corpus collection and standardization, (2) semantic segmentation and deduplication, (3) instruction-response generation via expert scheduling, and (4) quality filtering with source mapping.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REF _Ref226683296 \h </w:instrText>
      </w:r>
      <w:r>
        <w:rPr>
          <w:color w:val="000000" w:themeColor="text1"/>
          <w14:textFill>
            <w14:solidFill>
              <w14:schemeClr w14:val="tx1"/>
            </w14:solidFill>
          </w14:textFill>
        </w:rPr>
        <w:fldChar w:fldCharType="separate"/>
      </w:r>
      <w:r>
        <w:t>Figure 1</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presents an overview of the VeritasCarbon pipeline. Each stage exposes clear data interfaces, ensuring controllability and traceability throughout the data generation lifecycle.</w:t>
      </w:r>
    </w:p>
    <w:p w14:paraId="75AE2A59">
      <w:pPr>
        <w:rPr>
          <w:rFonts w:eastAsia="宋体"/>
          <w:lang w:eastAsia="zh-CN"/>
        </w:rPr>
        <w:sectPr>
          <w:type w:val="continuous"/>
          <w:pgSz w:w="12240" w:h="15840"/>
          <w:pgMar w:top="1080" w:right="1080" w:bottom="1152" w:left="1080" w:header="720" w:footer="720" w:gutter="0"/>
          <w:cols w:space="720" w:num="2"/>
          <w:docGrid w:linePitch="360" w:charSpace="0"/>
        </w:sectPr>
      </w:pPr>
      <w:r>
        <w:rPr>
          <w:color w:val="000000" w:themeColor="text1"/>
          <w14:textFill>
            <w14:solidFill>
              <w14:schemeClr w14:val="tx1"/>
            </w14:solidFill>
          </w14:textFill>
        </w:rPr>
        <w:t xml:space="preserve">A central component of VeritasCarbon is the Council of Domain Experts (CoDE) framework, which orchestrates collaborative instruction generation among multiple expert agents. Drawing on recent advances in multi-agent LLM systems </w:t>
      </w:r>
      <w:r>
        <w:fldChar w:fldCharType="begin"/>
      </w:r>
      <w:r>
        <w:instrText xml:space="preserve">HYPERLINK \l "ref_6" \h</w:instrText>
      </w:r>
      <w:r>
        <w:fldChar w:fldCharType="separate"/>
      </w:r>
      <w:r>
        <w:rPr>
          <w:color w:val="000000" w:themeColor="text1"/>
          <w14:textFill>
            <w14:solidFill>
              <w14:schemeClr w14:val="tx1"/>
            </w14:solidFill>
          </w14:textFill>
        </w:rPr>
        <w:t>[6</w:t>
      </w:r>
      <w:r>
        <w:rPr>
          <w:rFonts w:hint="eastAsia" w:eastAsia="宋体"/>
          <w:color w:val="000000" w:themeColor="text1"/>
          <w:lang w:eastAsia="zh-CN"/>
          <w14:textFill>
            <w14:solidFill>
              <w14:schemeClr w14:val="tx1"/>
            </w14:solidFill>
          </w14:textFill>
        </w:rPr>
        <w:t>,</w:t>
      </w:r>
      <w:r>
        <w:fldChar w:fldCharType="end"/>
      </w:r>
      <w:r>
        <w:fldChar w:fldCharType="begin"/>
      </w:r>
      <w:r>
        <w:instrText xml:space="preserve">HYPERLINK \l "ref_19" \h</w:instrText>
      </w:r>
      <w:r>
        <w:fldChar w:fldCharType="separate"/>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19</w:t>
      </w:r>
      <w:r>
        <w:rPr>
          <w:rFonts w:hint="eastAsia" w:eastAsia="宋体"/>
          <w:color w:val="000000" w:themeColor="text1"/>
          <w:lang w:eastAsia="zh-CN"/>
          <w14:textFill>
            <w14:solidFill>
              <w14:schemeClr w14:val="tx1"/>
            </w14:solidFill>
          </w14:textFill>
        </w:rPr>
        <w:t>,</w:t>
      </w:r>
      <w:r>
        <w:fldChar w:fldCharType="end"/>
      </w:r>
      <w:r>
        <w:fldChar w:fldCharType="begin"/>
      </w:r>
      <w:r>
        <w:instrText xml:space="preserve">HYPERLINK \l "ref_25" \h</w:instrText>
      </w:r>
      <w:r>
        <w:fldChar w:fldCharType="separate"/>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25</w:t>
      </w:r>
      <w:r>
        <w:rPr>
          <w:rFonts w:hint="eastAsia" w:eastAsia="宋体"/>
          <w:color w:val="000000" w:themeColor="text1"/>
          <w:lang w:eastAsia="zh-CN"/>
          <w14:textFill>
            <w14:solidFill>
              <w14:schemeClr w14:val="tx1"/>
            </w14:solidFill>
          </w14:textFill>
        </w:rPr>
        <w:t>,</w:t>
      </w:r>
      <w:r>
        <w:fldChar w:fldCharType="end"/>
      </w:r>
      <w:r>
        <w:fldChar w:fldCharType="begin"/>
      </w:r>
      <w:r>
        <w:instrText xml:space="preserve">HYPERLINK \l "ref_34" \h</w:instrText>
      </w:r>
      <w:r>
        <w:fldChar w:fldCharType="separate"/>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34]</w:t>
      </w:r>
      <w:r>
        <w:fldChar w:fldCharType="end"/>
      </w:r>
      <w:r>
        <w:rPr>
          <w:color w:val="000000" w:themeColor="text1"/>
          <w14:textFill>
            <w14:solidFill>
              <w14:schemeClr w14:val="tx1"/>
            </w14:solidFill>
          </w14:textFill>
        </w:rPr>
        <w:t>, C</w:t>
      </w:r>
      <w:r>
        <w:rPr>
          <w:rFonts w:hint="eastAsia" w:eastAsia="宋体"/>
          <w:color w:val="000000" w:themeColor="text1"/>
          <w:lang w:eastAsia="zh-CN"/>
          <w14:textFill>
            <w14:solidFill>
              <w14:schemeClr w14:val="tx1"/>
            </w14:solidFill>
          </w14:textFill>
        </w:rPr>
        <w:t>o</w:t>
      </w:r>
      <w:r>
        <w:rPr>
          <w:color w:val="000000" w:themeColor="text1"/>
          <w14:textFill>
            <w14:solidFill>
              <w14:schemeClr w14:val="tx1"/>
            </w14:solidFill>
          </w14:textFill>
        </w:rPr>
        <w:t xml:space="preserve">DE enables adaptive expert selection and controlled feedback loops, enhancing the stability and methodological fidelity of generated instruction-response pairs. A recent survey on LLM-based autonomous agents </w:t>
      </w:r>
      <w:r>
        <w:fldChar w:fldCharType="begin"/>
      </w:r>
      <w:r>
        <w:instrText xml:space="preserve"> HYPERLINK \l "ref_48" \h </w:instrText>
      </w:r>
      <w:r>
        <w:fldChar w:fldCharType="separate"/>
      </w:r>
      <w:r>
        <w:rPr>
          <w:color w:val="000000" w:themeColor="text1"/>
          <w14:textFill>
            <w14:solidFill>
              <w14:schemeClr w14:val="tx1"/>
            </w14:solidFill>
          </w14:textFill>
        </w:rPr>
        <w:t>[48]</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identified role specialisation and inter-agent communication as key enablers of complex task decomposition. Unlike single-agent distillation approaches, C</w:t>
      </w:r>
      <w:r>
        <w:rPr>
          <w:rFonts w:hint="eastAsia" w:eastAsia="宋体"/>
          <w:color w:val="000000" w:themeColor="text1"/>
          <w:lang w:eastAsia="zh-CN"/>
          <w14:textFill>
            <w14:solidFill>
              <w14:schemeClr w14:val="tx1"/>
            </w14:solidFill>
          </w14:textFill>
        </w:rPr>
        <w:t>o</w:t>
      </w:r>
      <w:r>
        <w:rPr>
          <w:color w:val="000000" w:themeColor="text1"/>
          <w14:textFill>
            <w14:solidFill>
              <w14:schemeClr w14:val="tx1"/>
            </w14:solidFill>
          </w14:textFill>
        </w:rPr>
        <w:t xml:space="preserve">DE leverages inter-agent debate and review mechanisms </w:t>
      </w:r>
      <w:r>
        <w:fldChar w:fldCharType="begin"/>
      </w:r>
      <w:r>
        <w:instrText xml:space="preserve"> HYPERLINK \l "ref_13" \h </w:instrText>
      </w:r>
      <w: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to improve factual consistency, which is particularly important in domain-constrained settings. Based on this framework, we constructed and released the VeritasCarbon-ESG-35K dataset, comprising 35,000 traceable instruction instances across 11 expert-defined ESG topics. To ensure reproducibility and data security, we deployed the Qwen2-72B-Instruct </w:t>
      </w:r>
      <w:r>
        <w:fldChar w:fldCharType="begin"/>
      </w:r>
      <w:r>
        <w:instrText xml:space="preserve"> HYPERLINK \l "ref_58" \h </w:instrText>
      </w:r>
      <w:r>
        <w:fldChar w:fldCharType="separate"/>
      </w:r>
      <w:r>
        <w:rPr>
          <w:color w:val="000000" w:themeColor="text1"/>
          <w14:textFill>
            <w14:solidFill>
              <w14:schemeClr w14:val="tx1"/>
            </w14:solidFill>
          </w14:textFill>
        </w:rPr>
        <w:t>[58]</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4-bit quantized model locally, eliminating external API dependencies.</w:t>
      </w:r>
      <w:r>
        <w:rPr>
          <w:rFonts w:eastAsia="宋体"/>
          <w:lang w:eastAsia="zh-CN"/>
        </w:rPr>
        <w:t xml:space="preserve"> </w:t>
      </w:r>
    </w:p>
    <w:p w14:paraId="6CC3C467">
      <w:pPr>
        <w:keepNext/>
        <w:spacing w:before="40" w:after="40"/>
        <w:jc w:val="center"/>
      </w:pPr>
      <w:r>
        <w:drawing>
          <wp:inline distT="0" distB="0" distL="0" distR="0">
            <wp:extent cx="6400800" cy="4009390"/>
            <wp:effectExtent l="0" t="0" r="0" b="0"/>
            <wp:docPr id="5164116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11697" name="图片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400800" cy="4009390"/>
                    </a:xfrm>
                    <a:prstGeom prst="rect">
                      <a:avLst/>
                    </a:prstGeom>
                    <a:noFill/>
                    <a:ln>
                      <a:noFill/>
                    </a:ln>
                  </pic:spPr>
                </pic:pic>
              </a:graphicData>
            </a:graphic>
          </wp:inline>
        </w:drawing>
      </w:r>
    </w:p>
    <w:p w14:paraId="2D529589">
      <w:pPr>
        <w:pStyle w:val="184"/>
      </w:pPr>
      <w:bookmarkStart w:id="1" w:name="_Ref226683296"/>
      <w:r>
        <w:t xml:space="preserve">Figure </w:t>
      </w:r>
      <w:r>
        <w:fldChar w:fldCharType="begin"/>
      </w:r>
      <w:r>
        <w:instrText xml:space="preserve"> SEQ Figure \* ARABIC </w:instrText>
      </w:r>
      <w:r>
        <w:fldChar w:fldCharType="separate"/>
      </w:r>
      <w:r>
        <w:t>1</w:t>
      </w:r>
      <w:r>
        <w:fldChar w:fldCharType="end"/>
      </w:r>
      <w:bookmarkEnd w:id="1"/>
      <w:r>
        <w:rPr>
          <w:rFonts w:hint="eastAsia"/>
        </w:rPr>
        <w:t xml:space="preserve"> </w:t>
      </w:r>
      <w:r>
        <w:t>The VeritasCarbon pipeline. Raw ESG documents</w:t>
      </w:r>
      <w:r>
        <w:rPr>
          <w:rFonts w:hint="eastAsia"/>
        </w:rPr>
        <w:t xml:space="preserve"> </w:t>
      </w:r>
      <w:r>
        <w:t>are processed through four stages to produce traceable</w:t>
      </w:r>
      <w:r>
        <w:rPr>
          <w:rFonts w:hint="eastAsia"/>
        </w:rPr>
        <w:t xml:space="preserve"> </w:t>
      </w:r>
      <w:r>
        <w:t>instruction-response pairs</w:t>
      </w:r>
    </w:p>
    <w:p w14:paraId="0AEAD694">
      <w:pPr>
        <w:rPr>
          <w:rFonts w:eastAsia="宋体"/>
          <w:lang w:eastAsia="zh-CN"/>
        </w:rPr>
        <w:sectPr>
          <w:type w:val="continuous"/>
          <w:pgSz w:w="12240" w:h="15840"/>
          <w:pgMar w:top="1080" w:right="1080" w:bottom="1152" w:left="1080" w:header="720" w:footer="720" w:gutter="0"/>
          <w:cols w:space="720" w:num="1"/>
          <w:docGrid w:linePitch="360" w:charSpace="0"/>
        </w:sectPr>
      </w:pPr>
    </w:p>
    <w:p w14:paraId="46583302">
      <w:pPr>
        <w:rPr>
          <w:color w:val="000000" w:themeColor="text1"/>
          <w14:textFill>
            <w14:solidFill>
              <w14:schemeClr w14:val="tx1"/>
            </w14:solidFill>
          </w14:textFill>
        </w:rPr>
      </w:pPr>
      <w:r>
        <w:rPr>
          <w:color w:val="000000" w:themeColor="text1"/>
          <w14:textFill>
            <w14:solidFill>
              <w14:schemeClr w14:val="tx1"/>
            </w14:solidFill>
          </w14:textFill>
        </w:rPr>
        <w:t xml:space="preserve">We evaluate VeritasCarbon from multiple perspectives. First, we assess data quality and diversity relative to three baseline methods, employing both automatic metrics </w:t>
      </w:r>
      <w:r>
        <w:fldChar w:fldCharType="begin"/>
      </w:r>
      <w:r>
        <w:instrText xml:space="preserve">HYPERLINK \l "ref_27" \h</w:instrText>
      </w:r>
      <w:r>
        <w:fldChar w:fldCharType="separate"/>
      </w:r>
      <w:r>
        <w:rPr>
          <w:color w:val="000000" w:themeColor="text1"/>
          <w14:textFill>
            <w14:solidFill>
              <w14:schemeClr w14:val="tx1"/>
            </w14:solidFill>
          </w14:textFill>
        </w:rPr>
        <w:t>[27</w:t>
      </w:r>
      <w:r>
        <w:rPr>
          <w:rFonts w:hint="eastAsia" w:eastAsia="宋体"/>
          <w:color w:val="000000" w:themeColor="text1"/>
          <w:lang w:eastAsia="zh-CN"/>
          <w14:textFill>
            <w14:solidFill>
              <w14:schemeClr w14:val="tx1"/>
            </w14:solidFill>
          </w14:textFill>
        </w:rPr>
        <w:t>,</w:t>
      </w:r>
      <w:r>
        <w:fldChar w:fldCharType="end"/>
      </w:r>
      <w:r>
        <w:rPr>
          <w:rFonts w:hint="eastAsia" w:eastAsia="宋体"/>
          <w:lang w:eastAsia="zh-CN"/>
        </w:rPr>
        <w:t xml:space="preserve"> </w:t>
      </w:r>
      <w:r>
        <w:fldChar w:fldCharType="begin"/>
      </w:r>
      <w:r>
        <w:instrText xml:space="preserve">HYPERLINK \l "ref_33" \h</w:instrText>
      </w:r>
      <w:r>
        <w:fldChar w:fldCharType="separate"/>
      </w:r>
      <w:r>
        <w:rPr>
          <w:color w:val="000000" w:themeColor="text1"/>
          <w14:textFill>
            <w14:solidFill>
              <w14:schemeClr w14:val="tx1"/>
            </w14:solidFill>
          </w14:textFill>
        </w:rPr>
        <w:t>33</w:t>
      </w:r>
      <w:r>
        <w:rPr>
          <w:rFonts w:hint="eastAsia" w:eastAsia="宋体"/>
          <w:color w:val="000000" w:themeColor="text1"/>
          <w:lang w:eastAsia="zh-CN"/>
          <w14:textFill>
            <w14:solidFill>
              <w14:schemeClr w14:val="tx1"/>
            </w14:solidFill>
          </w14:textFill>
        </w:rPr>
        <w:t xml:space="preserve">, </w:t>
      </w:r>
      <w:r>
        <w:fldChar w:fldCharType="end"/>
      </w:r>
      <w:r>
        <w:fldChar w:fldCharType="begin"/>
      </w:r>
      <w:r>
        <w:instrText xml:space="preserve">HYPERLINK \l "ref_62" \h</w:instrText>
      </w:r>
      <w:r>
        <w:fldChar w:fldCharType="separate"/>
      </w:r>
      <w:r>
        <w:rPr>
          <w:color w:val="000000" w:themeColor="text1"/>
          <w14:textFill>
            <w14:solidFill>
              <w14:schemeClr w14:val="tx1"/>
            </w14:solidFill>
          </w14:textFill>
        </w:rPr>
        <w:t>62]</w:t>
      </w:r>
      <w:r>
        <w:fldChar w:fldCharType="end"/>
      </w:r>
      <w:r>
        <w:rPr>
          <w:color w:val="000000" w:themeColor="text1"/>
          <w14:textFill>
            <w14:solidFill>
              <w14:schemeClr w14:val="tx1"/>
            </w14:solidFill>
          </w14:textFill>
        </w:rPr>
        <w:t xml:space="preserve"> and LLM-as-judge evaluation </w:t>
      </w:r>
      <w:r>
        <w:fldChar w:fldCharType="begin"/>
      </w:r>
      <w:r>
        <w:instrText xml:space="preserve"> HYPERLINK \l "ref_63" \h </w:instrText>
      </w:r>
      <w:r>
        <w:fldChar w:fldCharType="separate"/>
      </w:r>
      <w:r>
        <w:rPr>
          <w:color w:val="000000" w:themeColor="text1"/>
          <w14:textFill>
            <w14:solidFill>
              <w14:schemeClr w14:val="tx1"/>
            </w14:solidFill>
          </w14:textFill>
        </w:rPr>
        <w:t>[63]</w:t>
      </w:r>
      <w:r>
        <w:rPr>
          <w:color w:val="000000" w:themeColor="text1"/>
          <w14:textFill>
            <w14:solidFill>
              <w14:schemeClr w14:val="tx1"/>
            </w14:solidFill>
          </w14:textFill>
        </w:rPr>
        <w:fldChar w:fldCharType="end"/>
      </w:r>
      <w:r>
        <w:rPr>
          <w:color w:val="000000" w:themeColor="text1"/>
          <w14:textFill>
            <w14:solidFill>
              <w14:schemeClr w14:val="tx1"/>
            </w14:solidFill>
          </w14:textFill>
        </w:rPr>
        <w:t>. Second, we conduct ablation studies to analyze the impact of expert selection and feedback mechanisms. Third, we present case studies to demonstrate the system's applicability in real-world ESG scenarios. All experimental protocols and datasets are designed to facilitate reproducibility.</w:t>
      </w:r>
    </w:p>
    <w:p w14:paraId="561A16D1">
      <w:pPr>
        <w:rPr>
          <w:rFonts w:eastAsia="宋体"/>
          <w:lang w:eastAsia="zh-CN"/>
        </w:rPr>
      </w:pPr>
      <w:r>
        <w:t>Our main contributions are as follows:</w:t>
      </w:r>
    </w:p>
    <w:p w14:paraId="773039D1">
      <w:pPr>
        <w:rPr>
          <w:rFonts w:eastAsia="宋体"/>
          <w:lang w:eastAsia="zh-CN"/>
        </w:rPr>
      </w:pPr>
      <w:r>
        <w:rPr>
          <w:rFonts w:eastAsia="宋体"/>
          <w:lang w:eastAsia="zh-CN"/>
        </w:rPr>
        <w:t xml:space="preserve">(1) We introduce a structured workflow with explicit intermediate artifacts (chunks, expert selections, quality scores) and enforce source mapping for every generated pair, ensuring full traceability. </w:t>
      </w:r>
    </w:p>
    <w:p w14:paraId="42FEBD88">
      <w:pPr>
        <w:rPr>
          <w:rFonts w:eastAsia="宋体"/>
          <w:lang w:eastAsia="zh-CN"/>
        </w:rPr>
      </w:pPr>
      <w:r>
        <w:rPr>
          <w:rFonts w:eastAsia="宋体"/>
          <w:lang w:eastAsia="zh-CN"/>
        </w:rPr>
        <w:t>(2) We design the CoDE (Council of Domain Experts) framework, which layer‑selects up to K domain experts, supports sequential and parallel collaboration, and applies MetaExpert‑guided refinement</w:t>
      </w:r>
      <w:r>
        <w:rPr>
          <w:rFonts w:hint="eastAsia" w:eastAsia="宋体"/>
          <w:lang w:eastAsia="zh-CN"/>
        </w:rPr>
        <w:t xml:space="preserve">, which </w:t>
      </w:r>
      <w:r>
        <w:rPr>
          <w:rFonts w:eastAsia="宋体"/>
          <w:lang w:eastAsia="zh-CN"/>
        </w:rPr>
        <w:t xml:space="preserve">tailored specifically for ESG disclosure documents. </w:t>
      </w:r>
    </w:p>
    <w:p w14:paraId="40A9A746">
      <w:pPr>
        <w:rPr>
          <w:rFonts w:eastAsia="宋体"/>
          <w:lang w:eastAsia="zh-CN"/>
        </w:rPr>
      </w:pPr>
      <w:r>
        <w:rPr>
          <w:rFonts w:eastAsia="宋体"/>
          <w:lang w:eastAsia="zh-CN"/>
        </w:rPr>
        <w:t>(3) We build end‑to‑end provenance tracking from the raw corpus through segmentation, expert routing, collaboration, and filtering, attaching provenance metadata to each final instruction‑response pair. By combining these innovations, VeritasCarbon enables reproducible, auditable instruction data generation for compliance‑critical ESG and carbon accounting tasks.</w:t>
      </w:r>
    </w:p>
    <w:p>
      <w:pPr>
        <w:spacing w:after="120"/>
      </w:pPr>
      <w:r>
        <w:rPr>
          <w:sz w:val="20"/>
        </w:rPr>
        <w:t>(4) We release the VeritasCarbon-ESG-35K dataset, the largest publicly available traceable ESG instruction dataset to date (35,009 pairs), together with complete generation code and a 2,000-pair representative sample for immediate reproducibility.</w:t>
      </w:r>
    </w:p>
    <w:p>
      <w:pPr>
        <w:spacing w:after="120"/>
      </w:pPr>
      <w:r>
        <w:rPr>
          <w:sz w:val="20"/>
        </w:rPr>
        <w:t xml:space="preserve">In addition to the methodological contributions above, the dataset itself constitutes a core research artifact. </w:t>
      </w:r>
      <w:r>
        <w:rPr>
          <w:b/>
          <w:sz w:val="20"/>
        </w:rPr>
        <w:t>VeritasCarbon-ESG-35K</w:t>
      </w:r>
      <w:r>
        <w:rPr>
          <w:sz w:val="20"/>
        </w:rPr>
        <w:t xml:space="preserve"> is released under a tiered strategy: a 2,000-pair sample is included in the GitHub repository for direct replication of Table 2; the full 35,009-pair dataset is hosted on Hugging Face Datasets (</w:t>
      </w:r>
      <w:r>
        <w:rPr>
          <w:color w:val="0000FF"/>
          <w:sz w:val="20"/>
          <w:u w:val="single"/>
        </w:rPr>
        <w:t>https://huggingface.co/datasets/Yihan-JIANG/VeritasCarbon-ESG-35K</w:t>
      </w:r>
      <w:r>
        <w:rPr>
          <w:sz w:val="20"/>
        </w:rPr>
        <w:t>); and complete provenance metadata for all 17,721 source documents is provided for researchers who wish to reproduce the corpus from source.</w:t>
      </w:r>
    </w:p>
    <w:p w14:paraId="43A1C24B">
      <w:pPr>
        <w:pStyle w:val="168"/>
        <w:rPr>
          <w:rFonts w:eastAsia="宋体"/>
          <w:lang w:eastAsia="zh-CN"/>
        </w:rPr>
      </w:pPr>
      <w:r>
        <w:rPr>
          <w:rFonts w:eastAsia="宋体"/>
          <w:lang w:eastAsia="zh-CN"/>
        </w:rPr>
        <w:t>2</w:t>
      </w:r>
      <w:r>
        <w:t> </w:t>
      </w:r>
      <w:r>
        <w:rPr>
          <w:rFonts w:eastAsia="宋体"/>
          <w:lang w:eastAsia="zh-CN"/>
        </w:rPr>
        <w:t>PRELIMINARY</w:t>
      </w:r>
    </w:p>
    <w:p w14:paraId="09CE8619">
      <w:pPr>
        <w:rPr>
          <w:rFonts w:eastAsia="宋体"/>
          <w:lang w:eastAsia="zh-CN"/>
        </w:rPr>
      </w:pPr>
      <w:r>
        <w:rPr>
          <w:lang w:eastAsia="zh-CN"/>
        </w:rPr>
        <w:t xml:space="preserve">VeritasCarbon frames ESG instruction-data generation as a constrained data-transformation problem rather than a purely prompt-level text-generation task. The system begins with a raw ESG corpus </w:t>
      </w:r>
      <m:oMath>
        <m:r>
          <m:rPr/>
          <w:rPr>
            <w:rFonts w:ascii="Cambria Math" w:hAnsi="Cambria Math"/>
            <w:lang w:eastAsia="zh-CN"/>
          </w:rPr>
          <m:t>C</m:t>
        </m:r>
      </m:oMath>
      <w:r>
        <w:rPr>
          <w:lang w:eastAsia="zh-CN"/>
        </w:rPr>
        <w:t xml:space="preserve"> composed of corporate disclosures, regulatory texts, industry reports, and methodological reference materials. In particular, the disclosure subset contains heterogeneous corporate ESG documents released by firms with different business natures, including manufacturing companies, energy and utility providers, financial institutions, technology firms, infrastructure operators, logistics companies, and consumer-facing enterprises. These documents also cover firms operating across different geographical areas and regulatory environments, including domestic markets, cross-regional supply chains, and multinational business contexts. As a result, the corpus reflects diverse reporting conventions, sector-specific materiality concerns, and jurisdiction-dependent disclosure requirements.</w:t>
      </w:r>
    </w:p>
    <w:p w14:paraId="05B8673D">
      <w:pPr>
        <w:rPr>
          <w:lang w:eastAsia="zh-CN"/>
        </w:rPr>
      </w:pPr>
      <w:r>
        <w:rPr>
          <w:lang w:eastAsia="zh-CN"/>
        </w:rPr>
        <w:t xml:space="preserve">The ESG disclosure documents used in this study are not uniform narrative reports. They typically combine several types of information within the same document: company profiles, business-segment descriptions, geographic operating footprints, governance structures, environmental management policies, carbon-emission accounting results, resource-use indicators, social responsibility programs, supply-chain practices, risk-management discussions, and references to reporting standards or regulatory guidelines. For example, an energy company may emphasize emissions, energy transition, and regulatory compliance; a manufacturing company may focus on resource efficiency, waste management, occupational safety, and supply-chain governance; while a financial institution may disclose sustainable finance, climate-risk exposure, green investment policies, and governance procedures. This heterogeneity makes ESG disclosures a challenging but valuable source for instruction-data generation. </w:t>
      </w:r>
    </w:p>
    <w:p w14:paraId="72AC58B9">
      <w:pPr>
        <w:rPr>
          <w:rFonts w:eastAsia="宋体"/>
          <w:lang w:eastAsia="zh-CN"/>
        </w:rPr>
      </w:pPr>
      <w:r>
        <w:rPr>
          <w:lang w:eastAsia="zh-CN"/>
        </w:rPr>
        <w:t>After parsing, cleaning, segmentation, and deduplication, the corpus is converted into a set of semantically coherent chunks {</w:t>
      </w:r>
      <m:oMath>
        <m:sSub>
          <m:sSubPr>
            <m:ctrlPr>
              <w:rPr>
                <w:rFonts w:ascii="Cambria Math" w:hAnsi="Cambria Math"/>
                <w:i/>
                <w:lang w:eastAsia="zh-CN"/>
              </w:rPr>
            </m:ctrlPr>
          </m:sSubPr>
          <m:e>
            <m:r>
              <m:rPr/>
              <w:rPr>
                <w:rFonts w:ascii="Cambria Math" w:hAnsi="Cambria Math"/>
                <w:lang w:eastAsia="zh-CN"/>
              </w:rPr>
              <m:t>c</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oMath>
      <w:r>
        <w:rPr>
          <w:lang w:eastAsia="zh-CN"/>
        </w:rPr>
        <w:t xml:space="preserve">, </w:t>
      </w:r>
      <m:oMath>
        <m:sSub>
          <m:sSubPr>
            <m:ctrlPr>
              <w:rPr>
                <w:rFonts w:ascii="Cambria Math" w:hAnsi="Cambria Math"/>
                <w:i/>
                <w:lang w:eastAsia="zh-CN"/>
              </w:rPr>
            </m:ctrlPr>
          </m:sSubPr>
          <m:e>
            <m:r>
              <m:rPr/>
              <w:rPr>
                <w:rFonts w:ascii="Cambria Math" w:hAnsi="Cambria Math"/>
                <w:lang w:eastAsia="zh-CN"/>
              </w:rPr>
              <m:t>c</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oMath>
      <w:r>
        <w:rPr>
          <w:lang w:eastAsia="zh-CN"/>
        </w:rPr>
        <w:t xml:space="preserve">, ..., </w:t>
      </w:r>
      <m:oMath>
        <m:sSub>
          <m:sSubPr>
            <m:ctrlPr>
              <w:rPr>
                <w:rFonts w:ascii="Cambria Math" w:hAnsi="Cambria Math"/>
                <w:i/>
                <w:lang w:eastAsia="zh-CN"/>
              </w:rPr>
            </m:ctrlPr>
          </m:sSubPr>
          <m:e>
            <m:r>
              <m:rPr/>
              <w:rPr>
                <w:rFonts w:ascii="Cambria Math" w:hAnsi="Cambria Math"/>
                <w:lang w:eastAsia="zh-CN"/>
              </w:rPr>
              <m:t>c</m:t>
            </m:r>
            <m:ctrlPr>
              <w:rPr>
                <w:rFonts w:ascii="Cambria Math" w:hAnsi="Cambria Math"/>
                <w:i/>
                <w:lang w:eastAsia="zh-CN"/>
              </w:rPr>
            </m:ctrlPr>
          </m:e>
          <m:sub>
            <m:r>
              <m:rPr/>
              <w:rPr>
                <w:rFonts w:ascii="Cambria Math" w:hAnsi="Cambria Math"/>
                <w:lang w:eastAsia="zh-CN"/>
              </w:rPr>
              <m:t>n</m:t>
            </m:r>
            <m:ctrlPr>
              <w:rPr>
                <w:rFonts w:ascii="Cambria Math" w:hAnsi="Cambria Math"/>
                <w:i/>
                <w:lang w:eastAsia="zh-CN"/>
              </w:rPr>
            </m:ctrlPr>
          </m:sub>
        </m:sSub>
      </m:oMath>
      <w:r>
        <w:rPr>
          <w:lang w:eastAsia="zh-CN"/>
        </w:rPr>
        <w:t>}. Each chunk is not treated as an isolated text span only; it is associated with contextual metadata such as document type, source organization, business sector, reporting year, geographical scope, and provenance identifier when such information is available. These contextual attributes help the system distinguish whether a chunk describes a company-level sustainability policy, a region-specific regulatory requirement, a sector-specific carbon-accounting practice, or a general methodological reference. They also support more precise expert selection and reduce the risk of generating responses that ignore the business or geographical context of the disclosure.</w:t>
      </w:r>
    </w:p>
    <w:p w14:paraId="58F410F5">
      <w:pPr>
        <w:rPr>
          <w:rFonts w:eastAsia="宋体"/>
          <w:lang w:eastAsia="zh-CN"/>
        </w:rPr>
      </w:pPr>
      <w:r>
        <w:rPr>
          <w:lang w:eastAsia="zh-CN"/>
        </w:rPr>
        <w:t xml:space="preserve">For each chunk </w:t>
      </w:r>
      <m:oMath>
        <m:sSub>
          <m:sSubPr>
            <m:ctrlPr>
              <w:rPr>
                <w:rFonts w:ascii="Cambria Math" w:hAnsi="Cambria Math"/>
                <w:i/>
                <w:lang w:eastAsia="zh-CN"/>
              </w:rPr>
            </m:ctrlPr>
          </m:sSubPr>
          <m:e>
            <m:r>
              <m:rPr/>
              <w:rPr>
                <w:rFonts w:ascii="Cambria Math" w:hAnsi="Cambria Math"/>
                <w:lang w:eastAsia="zh-CN"/>
              </w:rPr>
              <m:t>c</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 the system dynamically selects a subset of domain expert agents from an expert pool E and generates one or more candidate instruction-response pairs. The selected experts interpret both the local textual evidence and the available contextual metadata. This is important because many ESG claims are context-dependent: a disclosure about renewable-energy procurement, for instance, may have different implications for a utility provider, a manufacturing firm, or a financial institution; similarly, carbon-accounting statements may differ depending on whether they refer to direct operations, purchased electricity, value-chain emissions, or regional regulatory obligations.</w:t>
      </w:r>
    </w:p>
    <w:p w14:paraId="2FA77E0E">
      <w:pPr>
        <w:rPr>
          <w:lang w:eastAsia="zh-CN"/>
        </w:rPr>
      </w:pPr>
      <w:r>
        <w:rPr>
          <w:lang w:eastAsia="zh-CN"/>
        </w:rPr>
        <w:t xml:space="preserve">The final dataset </w:t>
      </w:r>
      <m:oMath>
        <m:r>
          <m:rPr/>
          <w:rPr>
            <w:rFonts w:ascii="Cambria Math" w:hAnsi="Cambria Math"/>
            <w:lang w:eastAsia="zh-CN"/>
          </w:rPr>
          <m:t>D</m:t>
        </m:r>
      </m:oMath>
      <w:r>
        <w:rPr>
          <w:lang w:eastAsia="zh-CN"/>
        </w:rPr>
        <w:t xml:space="preserve"> is stored as tuples (</w:t>
      </w:r>
      <m:oMath>
        <m:sSub>
          <m:sSubPr>
            <m:ctrlPr>
              <w:rPr>
                <w:rFonts w:ascii="Cambria Math" w:hAnsi="Cambria Math"/>
                <w:i/>
                <w:lang w:eastAsia="zh-CN"/>
              </w:rPr>
            </m:ctrlPr>
          </m:sSubPr>
          <m:e>
            <m:r>
              <m:rPr/>
              <w:rPr>
                <w:rFonts w:ascii="Cambria Math" w:hAnsi="Cambria Math"/>
                <w:lang w:eastAsia="zh-CN"/>
              </w:rPr>
              <m:t>q</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oMath>
      <w:r>
        <w:rPr>
          <w:lang w:eastAsia="zh-CN"/>
        </w:rPr>
        <w:t xml:space="preserve">, </w:t>
      </w:r>
      <m:oMath>
        <m:sSub>
          <m:sSubPr>
            <m:ctrlPr>
              <w:rPr>
                <w:rFonts w:ascii="Cambria Math" w:hAnsi="Cambria Math"/>
                <w:i/>
                <w:lang w:eastAsia="zh-CN"/>
              </w:rPr>
            </m:ctrlPr>
          </m:sSubPr>
          <m:e>
            <m:r>
              <m:rPr/>
              <w:rPr>
                <w:rFonts w:ascii="Cambria Math" w:hAnsi="Cambria Math"/>
                <w:lang w:eastAsia="zh-CN"/>
              </w:rPr>
              <m:t>a</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oMath>
      <w:r>
        <w:rPr>
          <w:lang w:eastAsia="zh-CN"/>
        </w:rPr>
        <w:t xml:space="preserve">, </w:t>
      </w:r>
      <m:oMath>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oMath>
      <w:r>
        <w:rPr>
          <w:lang w:eastAsia="zh-CN"/>
        </w:rPr>
        <w:t xml:space="preserve">), where </w:t>
      </w:r>
      <m:oMath>
        <m:sSub>
          <m:sSubPr>
            <m:ctrlPr>
              <w:rPr>
                <w:rFonts w:ascii="Cambria Math" w:hAnsi="Cambria Math"/>
                <w:i/>
                <w:lang w:eastAsia="zh-CN"/>
              </w:rPr>
            </m:ctrlPr>
          </m:sSubPr>
          <m:e>
            <m:r>
              <m:rPr/>
              <w:rPr>
                <w:rFonts w:ascii="Cambria Math" w:hAnsi="Cambria Math"/>
                <w:lang w:eastAsia="zh-CN"/>
              </w:rPr>
              <m:t>q</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oMath>
      <w:r>
        <w:rPr>
          <w:lang w:eastAsia="zh-CN"/>
        </w:rPr>
        <w:t xml:space="preserve"> is the instruction, </w:t>
      </w:r>
      <m:oMath>
        <m:sSub>
          <m:sSubPr>
            <m:ctrlPr>
              <w:rPr>
                <w:rFonts w:ascii="Cambria Math" w:hAnsi="Cambria Math"/>
                <w:i/>
                <w:lang w:eastAsia="zh-CN"/>
              </w:rPr>
            </m:ctrlPr>
          </m:sSubPr>
          <m:e>
            <m:r>
              <m:rPr/>
              <w:rPr>
                <w:rFonts w:ascii="Cambria Math" w:hAnsi="Cambria Math"/>
                <w:lang w:eastAsia="zh-CN"/>
              </w:rPr>
              <m:t>a</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oMath>
      <w:r>
        <w:rPr>
          <w:lang w:eastAsia="zh-CN"/>
        </w:rPr>
        <w:t xml:space="preserve"> is the response, and </w:t>
      </w:r>
      <m:oMath>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oMath>
      <w:r>
        <w:rPr>
          <w:lang w:eastAsia="zh-CN"/>
        </w:rPr>
        <w:t xml:space="preserve"> denotes the source mapping back to one or more chunks. In the extended representation, each tuple can also include metadata fields such as document category, sector, reporting period, geographical scope, expert path, and quality score. This representation makes provenance a first-class data object rather than a post hoc annotation. It also allows users to inspect not only what answer was generated, but also from which disclosure context the answer was derived and which expert perspectives contributed to its construction.</w:t>
      </w:r>
    </w:p>
    <w:p w14:paraId="5579EE0C">
      <w:pPr>
        <w:rPr>
          <w:rFonts w:eastAsia="宋体"/>
          <w:lang w:eastAsia="zh-CN"/>
        </w:rPr>
      </w:pPr>
      <w:r>
        <w:rPr>
          <w:rFonts w:eastAsia="宋体"/>
          <w:lang w:eastAsia="zh-CN"/>
        </w:rPr>
        <w:t xml:space="preserve">Three design constraints govern the entire pipeline. First, source fidelity: every response must remain grounded in the originating text fragment and must preserve the factual boundaries of the source. Second, diversity: the generated instructions should cover multiple ESG themes, task forms, and reasoning styles rather than collapse into repetitive question templates. Third, quality: only outputs that exceed a minimum threshold are retained. Formally, the optimization target is to maximize expected dataset quality </w:t>
      </w:r>
      <m:oMath>
        <m:r>
          <m:rPr/>
          <w:rPr>
            <w:rFonts w:ascii="Cambria Math" w:hAnsi="Cambria Math" w:eastAsia="宋体"/>
            <w:lang w:eastAsia="zh-CN"/>
          </w:rPr>
          <m:t>E[Q(D)]</m:t>
        </m:r>
      </m:oMath>
      <w:r>
        <w:rPr>
          <w:rFonts w:hint="eastAsia" w:eastAsia="宋体"/>
          <w:lang w:eastAsia="zh-CN"/>
        </w:rPr>
        <w:t xml:space="preserve"> </w:t>
      </w:r>
      <w:r>
        <w:rPr>
          <w:rFonts w:eastAsia="宋体"/>
          <w:lang w:eastAsia="zh-CN"/>
        </w:rPr>
        <w:t>while satisfying source-mapping consistency and topical diversity constraints. This formalization is particularly important in ESG and carbon-accounting settings because the same disclosure often interweaves narrative explanation, numerical evidence, standards reference, and implicit assumptions.</w:t>
      </w:r>
    </w:p>
    <w:p w14:paraId="31EC647B">
      <w:pPr>
        <w:pStyle w:val="184"/>
      </w:pPr>
      <w:r>
        <w:t xml:space="preserve">Table </w:t>
      </w:r>
      <w:r>
        <w:fldChar w:fldCharType="begin"/>
      </w:r>
      <w:r>
        <w:instrText xml:space="preserve"> SEQ Table \* ARABIC </w:instrText>
      </w:r>
      <w:r>
        <w:fldChar w:fldCharType="separate"/>
      </w:r>
      <w:r>
        <w:t>1</w:t>
      </w:r>
      <w:r>
        <w:fldChar w:fldCharType="end"/>
      </w:r>
      <w:r>
        <w:t xml:space="preserve"> Core symbols and execution variables</w:t>
      </w:r>
    </w:p>
    <w:tbl>
      <w:tblPr>
        <w:tblStyle w:val="3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4"/>
        <w:gridCol w:w="1420"/>
        <w:gridCol w:w="2536"/>
      </w:tblGrid>
      <w:tr w14:paraId="2C6570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 w:type="dxa"/>
            <w:tcBorders>
              <w:top w:val="single" w:color="auto" w:sz="8" w:space="0"/>
              <w:bottom w:val="single" w:color="auto" w:sz="4" w:space="0"/>
            </w:tcBorders>
            <w:vAlign w:val="center"/>
          </w:tcPr>
          <w:p w14:paraId="6393EF79">
            <w:pPr>
              <w:spacing w:after="120" w:afterLines="50" w:line="240" w:lineRule="auto"/>
              <w:rPr>
                <w:rFonts w:eastAsia="宋体"/>
                <w:sz w:val="16"/>
                <w:szCs w:val="20"/>
                <w:lang w:eastAsia="zh-CN"/>
              </w:rPr>
            </w:pPr>
            <w:r>
              <w:rPr>
                <w:rFonts w:eastAsia="宋体"/>
                <w:b/>
                <w:sz w:val="16"/>
                <w:szCs w:val="20"/>
                <w:lang w:eastAsia="zh-CN"/>
              </w:rPr>
              <w:t>Term</w:t>
            </w:r>
          </w:p>
        </w:tc>
        <w:tc>
          <w:tcPr>
            <w:tcW w:w="1420" w:type="dxa"/>
            <w:tcBorders>
              <w:top w:val="single" w:color="auto" w:sz="8" w:space="0"/>
              <w:bottom w:val="single" w:color="auto" w:sz="4" w:space="0"/>
            </w:tcBorders>
            <w:vAlign w:val="center"/>
          </w:tcPr>
          <w:p w14:paraId="3D56D71D">
            <w:pPr>
              <w:spacing w:after="120" w:afterLines="50" w:line="240" w:lineRule="auto"/>
              <w:rPr>
                <w:rFonts w:eastAsia="宋体"/>
                <w:sz w:val="16"/>
                <w:szCs w:val="20"/>
                <w:lang w:eastAsia="zh-CN"/>
              </w:rPr>
            </w:pPr>
            <w:r>
              <w:rPr>
                <w:rFonts w:eastAsia="宋体"/>
                <w:b/>
                <w:sz w:val="16"/>
                <w:szCs w:val="20"/>
                <w:lang w:eastAsia="zh-CN"/>
              </w:rPr>
              <w:t>Meaning</w:t>
            </w:r>
          </w:p>
        </w:tc>
        <w:tc>
          <w:tcPr>
            <w:tcW w:w="2536" w:type="dxa"/>
            <w:tcBorders>
              <w:top w:val="single" w:color="auto" w:sz="8" w:space="0"/>
              <w:bottom w:val="single" w:color="auto" w:sz="4" w:space="0"/>
            </w:tcBorders>
            <w:vAlign w:val="center"/>
          </w:tcPr>
          <w:p w14:paraId="47874B6D">
            <w:pPr>
              <w:spacing w:after="120" w:afterLines="50" w:line="240" w:lineRule="auto"/>
              <w:rPr>
                <w:rFonts w:eastAsia="宋体"/>
                <w:sz w:val="16"/>
                <w:szCs w:val="20"/>
                <w:lang w:eastAsia="zh-CN"/>
              </w:rPr>
            </w:pPr>
            <w:r>
              <w:rPr>
                <w:rFonts w:eastAsia="宋体"/>
                <w:b/>
                <w:sz w:val="16"/>
                <w:szCs w:val="20"/>
                <w:lang w:eastAsia="zh-CN"/>
              </w:rPr>
              <w:t>Operational Role</w:t>
            </w:r>
          </w:p>
        </w:tc>
      </w:tr>
      <w:tr w14:paraId="0F4E4B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 w:type="dxa"/>
            <w:tcBorders>
              <w:top w:val="single" w:color="auto" w:sz="4" w:space="0"/>
            </w:tcBorders>
            <w:vAlign w:val="center"/>
          </w:tcPr>
          <w:p w14:paraId="4AA96C17">
            <w:pPr>
              <w:spacing w:after="120" w:afterLines="50" w:line="240" w:lineRule="auto"/>
              <w:rPr>
                <w:rFonts w:eastAsia="宋体"/>
                <w:sz w:val="16"/>
                <w:szCs w:val="20"/>
                <w:lang w:eastAsia="zh-CN"/>
              </w:rPr>
            </w:pPr>
            <m:oMathPara>
              <m:oMath>
                <m:r>
                  <m:rPr/>
                  <w:rPr>
                    <w:rFonts w:ascii="Cambria Math" w:hAnsi="Cambria Math"/>
                    <w:lang w:eastAsia="zh-CN"/>
                  </w:rPr>
                  <m:t>C</m:t>
                </m:r>
              </m:oMath>
            </m:oMathPara>
          </w:p>
        </w:tc>
        <w:tc>
          <w:tcPr>
            <w:tcW w:w="1420" w:type="dxa"/>
            <w:tcBorders>
              <w:top w:val="single" w:color="auto" w:sz="4" w:space="0"/>
            </w:tcBorders>
            <w:vAlign w:val="center"/>
          </w:tcPr>
          <w:p w14:paraId="60A49934">
            <w:pPr>
              <w:spacing w:after="120" w:afterLines="50" w:line="240" w:lineRule="auto"/>
              <w:rPr>
                <w:rFonts w:eastAsia="宋体"/>
                <w:sz w:val="16"/>
                <w:szCs w:val="20"/>
                <w:lang w:eastAsia="zh-CN"/>
              </w:rPr>
            </w:pPr>
            <w:r>
              <w:rPr>
                <w:rFonts w:eastAsia="宋体"/>
                <w:sz w:val="16"/>
                <w:szCs w:val="20"/>
                <w:lang w:eastAsia="zh-CN"/>
              </w:rPr>
              <w:t>Raw ESG corpus</w:t>
            </w:r>
          </w:p>
        </w:tc>
        <w:tc>
          <w:tcPr>
            <w:tcW w:w="2536" w:type="dxa"/>
            <w:tcBorders>
              <w:top w:val="single" w:color="auto" w:sz="4" w:space="0"/>
            </w:tcBorders>
            <w:vAlign w:val="center"/>
          </w:tcPr>
          <w:p w14:paraId="25963A7B">
            <w:pPr>
              <w:spacing w:after="120" w:afterLines="50" w:line="240" w:lineRule="auto"/>
              <w:rPr>
                <w:rFonts w:eastAsia="宋体"/>
                <w:sz w:val="16"/>
                <w:szCs w:val="20"/>
                <w:lang w:eastAsia="zh-CN"/>
              </w:rPr>
            </w:pPr>
            <w:r>
              <w:rPr>
                <w:rFonts w:eastAsia="宋体"/>
                <w:sz w:val="16"/>
                <w:szCs w:val="20"/>
                <w:lang w:eastAsia="zh-CN"/>
              </w:rPr>
              <w:t>Original collection of disclosure documents, policies, reports, and reference materials</w:t>
            </w:r>
          </w:p>
        </w:tc>
      </w:tr>
      <w:tr w14:paraId="07ED58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 w:type="dxa"/>
            <w:vAlign w:val="center"/>
          </w:tcPr>
          <w:p w14:paraId="49AC129B">
            <w:pPr>
              <w:spacing w:after="120" w:afterLines="50" w:line="240" w:lineRule="auto"/>
              <w:rPr>
                <w:rFonts w:eastAsia="宋体"/>
                <w:sz w:val="16"/>
                <w:szCs w:val="20"/>
                <w:lang w:eastAsia="zh-CN"/>
              </w:rPr>
            </w:pPr>
            <m:oMathPara>
              <m:oMath>
                <m:sSub>
                  <m:sSubPr>
                    <m:ctrlPr>
                      <w:rPr>
                        <w:rFonts w:ascii="Cambria Math" w:hAnsi="Cambria Math"/>
                        <w:i/>
                        <w:lang w:eastAsia="zh-CN"/>
                      </w:rPr>
                    </m:ctrlPr>
                  </m:sSubPr>
                  <m:e>
                    <m:r>
                      <m:rPr/>
                      <w:rPr>
                        <w:rFonts w:ascii="Cambria Math" w:hAnsi="Cambria Math"/>
                        <w:lang w:eastAsia="zh-CN"/>
                      </w:rPr>
                      <m:t>c</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m:oMathPara>
          </w:p>
        </w:tc>
        <w:tc>
          <w:tcPr>
            <w:tcW w:w="1420" w:type="dxa"/>
            <w:vAlign w:val="center"/>
          </w:tcPr>
          <w:p w14:paraId="69529647">
            <w:pPr>
              <w:spacing w:after="120" w:afterLines="50" w:line="240" w:lineRule="auto"/>
              <w:rPr>
                <w:rFonts w:eastAsia="宋体"/>
                <w:sz w:val="16"/>
                <w:szCs w:val="20"/>
                <w:lang w:eastAsia="zh-CN"/>
              </w:rPr>
            </w:pPr>
            <w:r>
              <w:rPr>
                <w:rFonts w:eastAsia="宋体"/>
                <w:sz w:val="16"/>
                <w:szCs w:val="20"/>
                <w:lang w:eastAsia="zh-CN"/>
              </w:rPr>
              <w:t>Semantic chunk</w:t>
            </w:r>
          </w:p>
        </w:tc>
        <w:tc>
          <w:tcPr>
            <w:tcW w:w="2536" w:type="dxa"/>
            <w:vAlign w:val="center"/>
          </w:tcPr>
          <w:p w14:paraId="205C170F">
            <w:pPr>
              <w:spacing w:after="120" w:afterLines="50" w:line="240" w:lineRule="auto"/>
              <w:rPr>
                <w:rFonts w:eastAsia="宋体"/>
                <w:sz w:val="16"/>
                <w:szCs w:val="20"/>
                <w:lang w:eastAsia="zh-CN"/>
              </w:rPr>
            </w:pPr>
            <w:r>
              <w:rPr>
                <w:rFonts w:eastAsia="宋体"/>
                <w:sz w:val="16"/>
                <w:szCs w:val="20"/>
                <w:lang w:eastAsia="zh-CN"/>
              </w:rPr>
              <w:t>Atomic processing unit after segmentation and deduplication</w:t>
            </w:r>
          </w:p>
        </w:tc>
      </w:tr>
      <w:tr w14:paraId="0B9E89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 w:type="dxa"/>
            <w:vAlign w:val="center"/>
          </w:tcPr>
          <w:p w14:paraId="375D1D0D">
            <w:pPr>
              <w:spacing w:after="120" w:afterLines="50" w:line="240" w:lineRule="auto"/>
              <w:rPr>
                <w:rFonts w:eastAsia="宋体"/>
                <w:sz w:val="16"/>
                <w:szCs w:val="20"/>
                <w:lang w:eastAsia="zh-CN"/>
              </w:rPr>
            </w:pPr>
            <m:oMathPara>
              <m:oMath>
                <m:r>
                  <m:rPr/>
                  <w:rPr>
                    <w:rFonts w:ascii="Cambria Math" w:hAnsi="Cambria Math" w:eastAsia="宋体"/>
                    <w:sz w:val="16"/>
                    <w:szCs w:val="20"/>
                    <w:lang w:eastAsia="zh-CN"/>
                  </w:rPr>
                  <m:t>E</m:t>
                </m:r>
              </m:oMath>
            </m:oMathPara>
          </w:p>
        </w:tc>
        <w:tc>
          <w:tcPr>
            <w:tcW w:w="1420" w:type="dxa"/>
            <w:vAlign w:val="center"/>
          </w:tcPr>
          <w:p w14:paraId="0A305FFB">
            <w:pPr>
              <w:spacing w:after="120" w:afterLines="50" w:line="240" w:lineRule="auto"/>
              <w:rPr>
                <w:rFonts w:eastAsia="宋体"/>
                <w:sz w:val="16"/>
                <w:szCs w:val="20"/>
                <w:lang w:eastAsia="zh-CN"/>
              </w:rPr>
            </w:pPr>
            <w:r>
              <w:rPr>
                <w:rFonts w:eastAsia="宋体"/>
                <w:sz w:val="16"/>
                <w:szCs w:val="20"/>
                <w:lang w:eastAsia="zh-CN"/>
              </w:rPr>
              <w:t>Expert agent pool</w:t>
            </w:r>
          </w:p>
        </w:tc>
        <w:tc>
          <w:tcPr>
            <w:tcW w:w="2536" w:type="dxa"/>
            <w:vAlign w:val="center"/>
          </w:tcPr>
          <w:p w14:paraId="7CDED501">
            <w:pPr>
              <w:spacing w:after="120" w:afterLines="50" w:line="240" w:lineRule="auto"/>
              <w:rPr>
                <w:rFonts w:eastAsia="宋体"/>
                <w:sz w:val="16"/>
                <w:szCs w:val="20"/>
                <w:lang w:eastAsia="zh-CN"/>
              </w:rPr>
            </w:pPr>
            <w:r>
              <w:rPr>
                <w:rFonts w:eastAsia="宋体"/>
                <w:sz w:val="16"/>
                <w:szCs w:val="20"/>
                <w:lang w:eastAsia="zh-CN"/>
              </w:rPr>
              <w:t>Set of 11 specialized expert agents available to CoDE</w:t>
            </w:r>
          </w:p>
        </w:tc>
      </w:tr>
      <w:tr w14:paraId="7824B8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 w:type="dxa"/>
            <w:vAlign w:val="center"/>
          </w:tcPr>
          <w:p w14:paraId="5C16F399">
            <w:pPr>
              <w:spacing w:after="120" w:afterLines="50" w:line="240" w:lineRule="auto"/>
              <w:rPr>
                <w:rFonts w:eastAsia="宋体"/>
                <w:sz w:val="16"/>
                <w:szCs w:val="20"/>
                <w:lang w:eastAsia="zh-CN"/>
              </w:rPr>
            </w:pPr>
            <m:oMathPara>
              <m:oMath>
                <m:r>
                  <m:rPr/>
                  <w:rPr>
                    <w:rFonts w:ascii="Cambria Math" w:hAnsi="Cambria Math"/>
                    <w:lang w:eastAsia="zh-CN"/>
                  </w:rPr>
                  <m:t>K</m:t>
                </m:r>
              </m:oMath>
            </m:oMathPara>
          </w:p>
        </w:tc>
        <w:tc>
          <w:tcPr>
            <w:tcW w:w="1420" w:type="dxa"/>
            <w:vAlign w:val="center"/>
          </w:tcPr>
          <w:p w14:paraId="778C098C">
            <w:pPr>
              <w:spacing w:after="120" w:afterLines="50" w:line="240" w:lineRule="auto"/>
              <w:rPr>
                <w:rFonts w:eastAsia="宋体"/>
                <w:sz w:val="16"/>
                <w:szCs w:val="20"/>
                <w:lang w:eastAsia="zh-CN"/>
              </w:rPr>
            </w:pPr>
            <w:r>
              <w:rPr>
                <w:rFonts w:eastAsia="宋体"/>
                <w:sz w:val="16"/>
                <w:szCs w:val="20"/>
                <w:lang w:eastAsia="zh-CN"/>
              </w:rPr>
              <w:t>Selected experts per chunk</w:t>
            </w:r>
          </w:p>
        </w:tc>
        <w:tc>
          <w:tcPr>
            <w:tcW w:w="2536" w:type="dxa"/>
            <w:vAlign w:val="center"/>
          </w:tcPr>
          <w:p w14:paraId="52573F50">
            <w:pPr>
              <w:spacing w:after="120" w:afterLines="50" w:line="240" w:lineRule="auto"/>
              <w:rPr>
                <w:rFonts w:eastAsia="宋体"/>
                <w:sz w:val="16"/>
                <w:szCs w:val="20"/>
                <w:lang w:eastAsia="zh-CN"/>
              </w:rPr>
            </w:pPr>
            <w:r>
              <w:rPr>
                <w:rFonts w:eastAsia="宋体"/>
                <w:sz w:val="16"/>
                <w:szCs w:val="20"/>
                <w:lang w:eastAsia="zh-CN"/>
              </w:rPr>
              <w:t xml:space="preserve">Upper bound on the number of experts activated for one chunk; default </w:t>
            </w:r>
            <m:oMath>
              <m:r>
                <m:rPr/>
                <w:rPr>
                  <w:rFonts w:ascii="Cambria Math" w:hAnsi="Cambria Math"/>
                  <w:lang w:eastAsia="zh-CN"/>
                </w:rPr>
                <m:t>K</m:t>
              </m:r>
            </m:oMath>
            <w:r>
              <w:rPr>
                <w:rFonts w:eastAsia="宋体"/>
                <w:sz w:val="16"/>
                <w:szCs w:val="20"/>
                <w:lang w:eastAsia="zh-CN"/>
              </w:rPr>
              <w:t xml:space="preserve"> = 3</w:t>
            </w:r>
          </w:p>
        </w:tc>
      </w:tr>
      <w:tr w14:paraId="78B03E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 w:type="dxa"/>
            <w:vAlign w:val="center"/>
          </w:tcPr>
          <w:p w14:paraId="33D46667">
            <w:pPr>
              <w:spacing w:after="120" w:afterLines="50" w:line="240" w:lineRule="auto"/>
              <w:rPr>
                <w:rFonts w:eastAsia="宋体"/>
                <w:sz w:val="16"/>
                <w:szCs w:val="20"/>
                <w:lang w:eastAsia="zh-CN"/>
              </w:rPr>
            </w:pPr>
            <m:oMathPara>
              <m:oMath>
                <m:r>
                  <m:rPr/>
                  <w:rPr>
                    <w:rFonts w:ascii="Cambria Math" w:hAnsi="Cambria Math" w:eastAsia="宋体"/>
                    <w:sz w:val="16"/>
                    <w:szCs w:val="20"/>
                    <w:lang w:eastAsia="zh-CN"/>
                  </w:rPr>
                  <m:t>R</m:t>
                </m:r>
              </m:oMath>
            </m:oMathPara>
          </w:p>
        </w:tc>
        <w:tc>
          <w:tcPr>
            <w:tcW w:w="1420" w:type="dxa"/>
            <w:vAlign w:val="center"/>
          </w:tcPr>
          <w:p w14:paraId="766943C6">
            <w:pPr>
              <w:spacing w:after="120" w:afterLines="50" w:line="240" w:lineRule="auto"/>
              <w:rPr>
                <w:rFonts w:eastAsia="宋体"/>
                <w:sz w:val="16"/>
                <w:szCs w:val="20"/>
                <w:lang w:eastAsia="zh-CN"/>
              </w:rPr>
            </w:pPr>
            <w:r>
              <w:rPr>
                <w:rFonts w:eastAsia="宋体"/>
                <w:sz w:val="16"/>
                <w:szCs w:val="20"/>
                <w:lang w:eastAsia="zh-CN"/>
              </w:rPr>
              <w:t>Feedback rounds</w:t>
            </w:r>
          </w:p>
        </w:tc>
        <w:tc>
          <w:tcPr>
            <w:tcW w:w="2536" w:type="dxa"/>
            <w:vAlign w:val="center"/>
          </w:tcPr>
          <w:p w14:paraId="3F59F246">
            <w:pPr>
              <w:spacing w:after="120" w:afterLines="50" w:line="240" w:lineRule="auto"/>
              <w:rPr>
                <w:rFonts w:eastAsia="宋体"/>
                <w:sz w:val="16"/>
                <w:szCs w:val="20"/>
                <w:lang w:eastAsia="zh-CN"/>
              </w:rPr>
            </w:pPr>
            <w:r>
              <w:rPr>
                <w:rFonts w:eastAsia="宋体"/>
                <w:sz w:val="16"/>
                <w:szCs w:val="20"/>
                <w:lang w:eastAsia="zh-CN"/>
              </w:rPr>
              <w:t>Maximum number of MetaExpert refinement rounds; default</w:t>
            </w:r>
            <w:r>
              <w:rPr>
                <w:rFonts w:hint="eastAsia" w:eastAsia="宋体"/>
                <w:sz w:val="16"/>
                <w:szCs w:val="20"/>
                <w:lang w:eastAsia="zh-CN"/>
              </w:rPr>
              <w:t xml:space="preserve"> </w:t>
            </w:r>
            <m:oMath>
              <m:r>
                <m:rPr/>
                <w:rPr>
                  <w:rFonts w:ascii="Cambria Math" w:hAnsi="Cambria Math" w:eastAsia="宋体"/>
                  <w:sz w:val="16"/>
                  <w:szCs w:val="20"/>
                  <w:lang w:eastAsia="zh-CN"/>
                </w:rPr>
                <m:t>R</m:t>
              </m:r>
            </m:oMath>
            <w:r>
              <w:rPr>
                <w:rFonts w:eastAsia="宋体"/>
                <w:sz w:val="16"/>
                <w:szCs w:val="20"/>
                <w:lang w:eastAsia="zh-CN"/>
              </w:rPr>
              <w:t xml:space="preserve"> = 2</w:t>
            </w:r>
          </w:p>
        </w:tc>
      </w:tr>
      <w:tr w14:paraId="290788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 w:type="dxa"/>
            <w:vAlign w:val="center"/>
          </w:tcPr>
          <w:p w14:paraId="1C51CAEA">
            <w:pPr>
              <w:spacing w:after="120" w:afterLines="50" w:line="240" w:lineRule="auto"/>
              <w:rPr>
                <w:rFonts w:eastAsia="宋体"/>
                <w:sz w:val="16"/>
                <w:szCs w:val="20"/>
                <w:lang w:eastAsia="zh-CN"/>
              </w:rPr>
            </w:pPr>
            <m:oMathPara>
              <m:oMath>
                <m:r>
                  <m:rPr/>
                  <w:rPr>
                    <w:rFonts w:ascii="Cambria Math" w:hAnsi="Cambria Math" w:eastAsia="宋体"/>
                    <w:sz w:val="16"/>
                    <w:szCs w:val="20"/>
                    <w:lang w:eastAsia="zh-CN"/>
                  </w:rPr>
                  <m:t>Q (</m:t>
                </m:r>
                <m:r>
                  <m:rPr/>
                  <w:rPr>
                    <w:rFonts w:hint="eastAsia" w:ascii="Cambria Math" w:hAnsi="Cambria Math" w:eastAsia="宋体"/>
                    <w:sz w:val="16"/>
                    <w:szCs w:val="20"/>
                    <w:lang w:eastAsia="zh-CN"/>
                  </w:rPr>
                  <m:t>o</m:t>
                </m:r>
                <m:r>
                  <m:rPr/>
                  <w:rPr>
                    <w:rFonts w:ascii="Cambria Math" w:hAnsi="Cambria Math" w:eastAsia="宋体"/>
                    <w:sz w:val="16"/>
                    <w:szCs w:val="20"/>
                    <w:lang w:eastAsia="zh-CN"/>
                  </w:rPr>
                  <m:t>,c)</m:t>
                </m:r>
              </m:oMath>
            </m:oMathPara>
          </w:p>
        </w:tc>
        <w:tc>
          <w:tcPr>
            <w:tcW w:w="1420" w:type="dxa"/>
            <w:vAlign w:val="center"/>
          </w:tcPr>
          <w:p w14:paraId="08E23194">
            <w:pPr>
              <w:spacing w:after="120" w:afterLines="50" w:line="240" w:lineRule="auto"/>
              <w:rPr>
                <w:rFonts w:eastAsia="宋体"/>
                <w:sz w:val="16"/>
                <w:szCs w:val="20"/>
                <w:lang w:eastAsia="zh-CN"/>
              </w:rPr>
            </w:pPr>
            <w:r>
              <w:rPr>
                <w:rFonts w:eastAsia="宋体"/>
                <w:sz w:val="16"/>
                <w:szCs w:val="20"/>
                <w:lang w:eastAsia="zh-CN"/>
              </w:rPr>
              <w:t>Quality scoring function</w:t>
            </w:r>
          </w:p>
        </w:tc>
        <w:tc>
          <w:tcPr>
            <w:tcW w:w="2536" w:type="dxa"/>
            <w:vAlign w:val="center"/>
          </w:tcPr>
          <w:p w14:paraId="6894A194">
            <w:pPr>
              <w:spacing w:after="120" w:afterLines="50" w:line="240" w:lineRule="auto"/>
              <w:rPr>
                <w:rFonts w:eastAsia="宋体"/>
                <w:sz w:val="16"/>
                <w:szCs w:val="20"/>
                <w:lang w:eastAsia="zh-CN"/>
              </w:rPr>
            </w:pPr>
            <w:r>
              <w:rPr>
                <w:rFonts w:eastAsia="宋体"/>
                <w:sz w:val="16"/>
                <w:szCs w:val="20"/>
                <w:lang w:eastAsia="zh-CN"/>
              </w:rPr>
              <w:t xml:space="preserve">Scores a candidate output </w:t>
            </w:r>
            <m:oMath>
              <m:r>
                <m:rPr/>
                <w:rPr>
                  <w:rFonts w:hint="eastAsia" w:ascii="Cambria Math" w:hAnsi="Cambria Math" w:eastAsia="宋体"/>
                  <w:sz w:val="16"/>
                  <w:szCs w:val="20"/>
                  <w:lang w:eastAsia="zh-CN"/>
                </w:rPr>
                <m:t>o</m:t>
              </m:r>
            </m:oMath>
            <w:r>
              <w:rPr>
                <w:rFonts w:eastAsia="宋体"/>
                <w:sz w:val="16"/>
                <w:szCs w:val="20"/>
                <w:lang w:eastAsia="zh-CN"/>
              </w:rPr>
              <w:t xml:space="preserve"> with respect to source chunk </w:t>
            </w:r>
            <m:oMath>
              <m:r>
                <m:rPr/>
                <w:rPr>
                  <w:rFonts w:ascii="Cambria Math" w:hAnsi="Cambria Math" w:eastAsia="宋体"/>
                  <w:sz w:val="16"/>
                  <w:szCs w:val="20"/>
                  <w:lang w:eastAsia="zh-CN"/>
                </w:rPr>
                <m:t>c</m:t>
              </m:r>
            </m:oMath>
          </w:p>
        </w:tc>
      </w:tr>
      <w:tr w14:paraId="3F98A1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 w:type="dxa"/>
            <w:vAlign w:val="center"/>
          </w:tcPr>
          <w:p w14:paraId="20FB3A09">
            <w:pPr>
              <w:spacing w:after="120" w:afterLines="50" w:line="240" w:lineRule="auto"/>
              <w:rPr>
                <w:rFonts w:eastAsia="宋体"/>
                <w:sz w:val="16"/>
                <w:szCs w:val="20"/>
                <w:lang w:eastAsia="zh-CN"/>
              </w:rPr>
            </w:pPr>
            <m:oMathPara>
              <m:oMath>
                <m:r>
                  <m:rPr/>
                  <w:rPr>
                    <w:rFonts w:ascii="Cambria Math" w:hAnsi="Cambria Math" w:eastAsia="宋体"/>
                    <w:sz w:val="16"/>
                    <w:szCs w:val="20"/>
                    <w:lang w:eastAsia="zh-CN"/>
                  </w:rPr>
                  <m:t>τ</m:t>
                </m:r>
              </m:oMath>
            </m:oMathPara>
          </w:p>
        </w:tc>
        <w:tc>
          <w:tcPr>
            <w:tcW w:w="1420" w:type="dxa"/>
            <w:vAlign w:val="center"/>
          </w:tcPr>
          <w:p w14:paraId="60EE208B">
            <w:pPr>
              <w:spacing w:after="120" w:afterLines="50" w:line="240" w:lineRule="auto"/>
              <w:rPr>
                <w:rFonts w:eastAsia="宋体"/>
                <w:sz w:val="16"/>
                <w:szCs w:val="20"/>
                <w:lang w:eastAsia="zh-CN"/>
              </w:rPr>
            </w:pPr>
            <w:r>
              <w:rPr>
                <w:rFonts w:eastAsia="宋体"/>
                <w:sz w:val="16"/>
                <w:szCs w:val="20"/>
                <w:lang w:eastAsia="zh-CN"/>
              </w:rPr>
              <w:t>Quality threshold</w:t>
            </w:r>
          </w:p>
        </w:tc>
        <w:tc>
          <w:tcPr>
            <w:tcW w:w="2536" w:type="dxa"/>
            <w:vAlign w:val="center"/>
          </w:tcPr>
          <w:p w14:paraId="2A6353F5">
            <w:pPr>
              <w:spacing w:after="120" w:afterLines="50" w:line="240" w:lineRule="auto"/>
              <w:rPr>
                <w:rFonts w:eastAsia="宋体"/>
                <w:sz w:val="16"/>
                <w:szCs w:val="20"/>
                <w:lang w:eastAsia="zh-CN"/>
              </w:rPr>
            </w:pPr>
            <w:r>
              <w:rPr>
                <w:rFonts w:eastAsia="宋体"/>
                <w:sz w:val="16"/>
                <w:szCs w:val="20"/>
                <w:lang w:eastAsia="zh-CN"/>
              </w:rPr>
              <w:t>Minimum score required for release into the final dataset</w:t>
            </w:r>
          </w:p>
        </w:tc>
      </w:tr>
      <w:tr w14:paraId="533C3C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 w:type="dxa"/>
            <w:tcBorders>
              <w:bottom w:val="single" w:color="auto" w:sz="8" w:space="0"/>
            </w:tcBorders>
            <w:vAlign w:val="center"/>
          </w:tcPr>
          <w:p w14:paraId="5D6D9232">
            <w:pPr>
              <w:spacing w:after="120" w:afterLines="50" w:line="240" w:lineRule="auto"/>
              <w:rPr>
                <w:rFonts w:eastAsia="宋体"/>
                <w:sz w:val="16"/>
                <w:szCs w:val="20"/>
                <w:lang w:eastAsia="zh-CN"/>
              </w:rPr>
            </w:pPr>
            <m:oMathPara>
              <m:oMath>
                <m:r>
                  <m:rPr/>
                  <w:rPr>
                    <w:rFonts w:ascii="Cambria Math" w:hAnsi="Cambria Math" w:eastAsia="宋体"/>
                    <w:sz w:val="16"/>
                    <w:szCs w:val="20"/>
                    <w:lang w:eastAsia="zh-CN"/>
                  </w:rPr>
                  <m:t>D</m:t>
                </m:r>
              </m:oMath>
            </m:oMathPara>
          </w:p>
        </w:tc>
        <w:tc>
          <w:tcPr>
            <w:tcW w:w="1420" w:type="dxa"/>
            <w:tcBorders>
              <w:bottom w:val="single" w:color="auto" w:sz="8" w:space="0"/>
            </w:tcBorders>
            <w:vAlign w:val="center"/>
          </w:tcPr>
          <w:p w14:paraId="4F8E727D">
            <w:pPr>
              <w:spacing w:after="120" w:afterLines="50" w:line="240" w:lineRule="auto"/>
              <w:rPr>
                <w:rFonts w:eastAsia="宋体"/>
                <w:sz w:val="16"/>
                <w:szCs w:val="20"/>
                <w:lang w:eastAsia="zh-CN"/>
              </w:rPr>
            </w:pPr>
            <w:r>
              <w:rPr>
                <w:rFonts w:eastAsia="宋体"/>
                <w:sz w:val="16"/>
                <w:szCs w:val="20"/>
                <w:lang w:eastAsia="zh-CN"/>
              </w:rPr>
              <w:t>Final dataset</w:t>
            </w:r>
          </w:p>
        </w:tc>
        <w:tc>
          <w:tcPr>
            <w:tcW w:w="2536" w:type="dxa"/>
            <w:tcBorders>
              <w:bottom w:val="single" w:color="auto" w:sz="8" w:space="0"/>
            </w:tcBorders>
            <w:vAlign w:val="center"/>
          </w:tcPr>
          <w:p w14:paraId="26CAF596">
            <w:pPr>
              <w:spacing w:after="120" w:afterLines="50" w:line="240" w:lineRule="auto"/>
              <w:rPr>
                <w:rFonts w:eastAsia="宋体"/>
                <w:sz w:val="16"/>
                <w:szCs w:val="20"/>
                <w:lang w:eastAsia="zh-CN"/>
              </w:rPr>
            </w:pPr>
            <w:r>
              <w:rPr>
                <w:rFonts w:eastAsia="宋体"/>
                <w:sz w:val="16"/>
                <w:szCs w:val="20"/>
                <w:lang w:eastAsia="zh-CN"/>
              </w:rPr>
              <w:t>Traceable instruction-response pairs with metadata and provenance</w:t>
            </w:r>
          </w:p>
        </w:tc>
      </w:tr>
    </w:tbl>
    <w:p w14:paraId="67D9CDB1">
      <w:pPr>
        <w:rPr>
          <w:rFonts w:eastAsia="宋体"/>
          <w:lang w:eastAsia="zh-CN"/>
        </w:rPr>
      </w:pPr>
      <w:r>
        <w:rPr>
          <w:lang w:eastAsia="zh-CN"/>
        </w:rPr>
        <w:t xml:space="preserve">The published release contains 35,009 traceable instruction-response pairs generated from 20,000 source chunks and 17,721 ESG disclosure documents. </w:t>
      </w:r>
      <w:r>
        <w:rPr>
          <w:lang w:eastAsia="zh-CN"/>
        </w:rPr>
        <w:fldChar w:fldCharType="begin"/>
      </w:r>
      <w:r>
        <w:rPr>
          <w:lang w:eastAsia="zh-CN"/>
        </w:rPr>
        <w:instrText xml:space="preserve"> REF _Ref227939794 \h </w:instrText>
      </w:r>
      <w:r>
        <w:rPr>
          <w:lang w:eastAsia="zh-CN"/>
        </w:rPr>
        <w:fldChar w:fldCharType="separate"/>
      </w:r>
      <w:r>
        <w:t>Table 2</w:t>
      </w:r>
      <w:r>
        <w:rPr>
          <w:lang w:eastAsia="zh-CN"/>
        </w:rPr>
        <w:fldChar w:fldCharType="end"/>
      </w:r>
      <w:r>
        <w:rPr>
          <w:lang w:eastAsia="zh-CN"/>
        </w:rPr>
        <w:t xml:space="preserve"> summarizes the key statistics of the VeritasCarbon-ESG-35K dataset. The corpus is arranged into four layers (foundational methodology texts, public corporate reports, policy documents, and industry analysis) to support both broad domain coverage and adaptive expert routing. The dataset also records a 45.1% multi‑expert collaboration ratio and a 100% MetaExpert participation ratio in the final released set.</w:t>
      </w:r>
    </w:p>
    <w:p w14:paraId="30A0E950">
      <w:pPr>
        <w:pStyle w:val="184"/>
      </w:pPr>
      <w:bookmarkStart w:id="2" w:name="_Ref227939794"/>
      <w:r>
        <w:t xml:space="preserve">Table </w:t>
      </w:r>
      <w:r>
        <w:fldChar w:fldCharType="begin"/>
      </w:r>
      <w:r>
        <w:instrText xml:space="preserve"> SEQ Table \* ARABIC </w:instrText>
      </w:r>
      <w:r>
        <w:fldChar w:fldCharType="separate"/>
      </w:r>
      <w:r>
        <w:t>2</w:t>
      </w:r>
      <w:r>
        <w:fldChar w:fldCharType="end"/>
      </w:r>
      <w:bookmarkEnd w:id="2"/>
      <w:r>
        <w:t xml:space="preserve"> Corpus scope</w:t>
      </w:r>
    </w:p>
    <w:tbl>
      <w:tblPr>
        <w:tblStyle w:val="34"/>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5"/>
        <w:gridCol w:w="2421"/>
      </w:tblGrid>
      <w:tr w14:paraId="7BD521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3" w:type="dxa"/>
            <w:tcBorders>
              <w:top w:val="single" w:color="auto" w:sz="8" w:space="0"/>
              <w:bottom w:val="single" w:color="auto" w:sz="4" w:space="0"/>
            </w:tcBorders>
            <w:vAlign w:val="center"/>
          </w:tcPr>
          <w:p w14:paraId="29B4EB59">
            <w:pPr>
              <w:rPr>
                <w:rFonts w:eastAsia="宋体"/>
                <w:b/>
                <w:sz w:val="16"/>
                <w:szCs w:val="20"/>
                <w:lang w:eastAsia="zh-CN"/>
              </w:rPr>
            </w:pPr>
            <w:r>
              <w:rPr>
                <w:rFonts w:eastAsia="宋体"/>
                <w:b/>
                <w:sz w:val="16"/>
                <w:szCs w:val="20"/>
                <w:lang w:eastAsia="zh-CN"/>
              </w:rPr>
              <w:t>Dataset Statistic</w:t>
            </w:r>
          </w:p>
        </w:tc>
        <w:tc>
          <w:tcPr>
            <w:tcW w:w="4933" w:type="dxa"/>
            <w:tcBorders>
              <w:top w:val="single" w:color="auto" w:sz="8" w:space="0"/>
              <w:bottom w:val="single" w:color="auto" w:sz="4" w:space="0"/>
            </w:tcBorders>
            <w:vAlign w:val="center"/>
          </w:tcPr>
          <w:p w14:paraId="1CB58C54">
            <w:pPr>
              <w:rPr>
                <w:rFonts w:eastAsia="宋体"/>
                <w:b/>
                <w:sz w:val="16"/>
                <w:szCs w:val="20"/>
                <w:lang w:eastAsia="zh-CN"/>
              </w:rPr>
            </w:pPr>
            <w:r>
              <w:rPr>
                <w:rFonts w:eastAsia="宋体"/>
                <w:b/>
                <w:sz w:val="16"/>
                <w:szCs w:val="20"/>
                <w:lang w:eastAsia="zh-CN"/>
              </w:rPr>
              <w:t>Value</w:t>
            </w:r>
          </w:p>
        </w:tc>
      </w:tr>
      <w:tr w14:paraId="3CCBCD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3" w:type="dxa"/>
            <w:tcBorders>
              <w:top w:val="single" w:color="auto" w:sz="4" w:space="0"/>
            </w:tcBorders>
            <w:vAlign w:val="center"/>
          </w:tcPr>
          <w:p w14:paraId="3A75BA94">
            <w:pPr>
              <w:rPr>
                <w:rFonts w:eastAsia="宋体"/>
                <w:bCs/>
                <w:sz w:val="16"/>
                <w:szCs w:val="20"/>
                <w:lang w:eastAsia="zh-CN"/>
              </w:rPr>
            </w:pPr>
            <w:r>
              <w:rPr>
                <w:rFonts w:eastAsia="宋体"/>
                <w:bCs/>
                <w:sz w:val="16"/>
                <w:szCs w:val="20"/>
                <w:lang w:eastAsia="zh-CN"/>
              </w:rPr>
              <w:t>Total instruction-response pairs</w:t>
            </w:r>
          </w:p>
        </w:tc>
        <w:tc>
          <w:tcPr>
            <w:tcW w:w="4933" w:type="dxa"/>
            <w:tcBorders>
              <w:top w:val="single" w:color="auto" w:sz="4" w:space="0"/>
            </w:tcBorders>
            <w:vAlign w:val="center"/>
          </w:tcPr>
          <w:p w14:paraId="51837FD4">
            <w:pPr>
              <w:rPr>
                <w:rFonts w:eastAsia="宋体"/>
                <w:bCs/>
                <w:sz w:val="16"/>
                <w:szCs w:val="20"/>
                <w:lang w:eastAsia="zh-CN"/>
              </w:rPr>
            </w:pPr>
            <w:r>
              <w:rPr>
                <w:rFonts w:eastAsia="宋体"/>
                <w:bCs/>
                <w:sz w:val="16"/>
                <w:szCs w:val="20"/>
                <w:lang w:eastAsia="zh-CN"/>
              </w:rPr>
              <w:t>35,009</w:t>
            </w:r>
          </w:p>
        </w:tc>
      </w:tr>
      <w:tr w14:paraId="4050AC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3" w:type="dxa"/>
            <w:vAlign w:val="center"/>
          </w:tcPr>
          <w:p w14:paraId="71964C2F">
            <w:pPr>
              <w:rPr>
                <w:rFonts w:eastAsia="宋体"/>
                <w:bCs/>
                <w:sz w:val="16"/>
                <w:szCs w:val="20"/>
                <w:lang w:eastAsia="zh-CN"/>
              </w:rPr>
            </w:pPr>
            <w:r>
              <w:rPr>
                <w:rFonts w:eastAsia="宋体"/>
                <w:bCs/>
                <w:sz w:val="16"/>
                <w:szCs w:val="20"/>
                <w:lang w:eastAsia="zh-CN"/>
              </w:rPr>
              <w:t>Source chunks</w:t>
            </w:r>
          </w:p>
        </w:tc>
        <w:tc>
          <w:tcPr>
            <w:tcW w:w="4933" w:type="dxa"/>
            <w:vAlign w:val="center"/>
          </w:tcPr>
          <w:p w14:paraId="2DF58DE1">
            <w:pPr>
              <w:rPr>
                <w:rFonts w:eastAsia="宋体"/>
                <w:bCs/>
                <w:sz w:val="16"/>
                <w:szCs w:val="20"/>
                <w:lang w:eastAsia="zh-CN"/>
              </w:rPr>
            </w:pPr>
            <w:r>
              <w:rPr>
                <w:rFonts w:eastAsia="宋体"/>
                <w:bCs/>
                <w:sz w:val="16"/>
                <w:szCs w:val="20"/>
                <w:lang w:eastAsia="zh-CN"/>
              </w:rPr>
              <w:t>20,000</w:t>
            </w:r>
          </w:p>
        </w:tc>
      </w:tr>
      <w:tr w14:paraId="69923E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3" w:type="dxa"/>
            <w:vAlign w:val="center"/>
          </w:tcPr>
          <w:p w14:paraId="71EF15AF">
            <w:pPr>
              <w:rPr>
                <w:rFonts w:eastAsia="宋体"/>
                <w:bCs/>
                <w:sz w:val="16"/>
                <w:szCs w:val="20"/>
                <w:lang w:eastAsia="zh-CN"/>
              </w:rPr>
            </w:pPr>
            <w:r>
              <w:rPr>
                <w:rFonts w:eastAsia="宋体"/>
                <w:bCs/>
                <w:sz w:val="16"/>
                <w:szCs w:val="20"/>
                <w:lang w:eastAsia="zh-CN"/>
              </w:rPr>
              <w:t>Source documents</w:t>
            </w:r>
          </w:p>
        </w:tc>
        <w:tc>
          <w:tcPr>
            <w:tcW w:w="4933" w:type="dxa"/>
            <w:vAlign w:val="center"/>
          </w:tcPr>
          <w:p w14:paraId="7C1FC33F">
            <w:pPr>
              <w:rPr>
                <w:rFonts w:eastAsia="宋体"/>
                <w:bCs/>
                <w:sz w:val="16"/>
                <w:szCs w:val="20"/>
                <w:lang w:eastAsia="zh-CN"/>
              </w:rPr>
            </w:pPr>
            <w:r>
              <w:rPr>
                <w:rFonts w:eastAsia="宋体"/>
                <w:bCs/>
                <w:sz w:val="16"/>
                <w:szCs w:val="20"/>
                <w:lang w:eastAsia="zh-CN"/>
              </w:rPr>
              <w:t>17,721</w:t>
            </w:r>
          </w:p>
        </w:tc>
      </w:tr>
      <w:tr w14:paraId="7C068C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3" w:type="dxa"/>
            <w:vAlign w:val="center"/>
          </w:tcPr>
          <w:p w14:paraId="2A7A3C66">
            <w:pPr>
              <w:rPr>
                <w:rFonts w:eastAsia="宋体"/>
                <w:bCs/>
                <w:sz w:val="16"/>
                <w:szCs w:val="20"/>
                <w:lang w:eastAsia="zh-CN"/>
              </w:rPr>
            </w:pPr>
            <w:r>
              <w:rPr>
                <w:rFonts w:eastAsia="宋体"/>
                <w:bCs/>
                <w:sz w:val="16"/>
                <w:szCs w:val="20"/>
                <w:lang w:eastAsia="zh-CN"/>
              </w:rPr>
              <w:t>Corpus layers</w:t>
            </w:r>
          </w:p>
        </w:tc>
        <w:tc>
          <w:tcPr>
            <w:tcW w:w="4933" w:type="dxa"/>
            <w:vAlign w:val="center"/>
          </w:tcPr>
          <w:p w14:paraId="2E6BE395">
            <w:pPr>
              <w:rPr>
                <w:rFonts w:eastAsia="宋体"/>
                <w:bCs/>
                <w:sz w:val="16"/>
                <w:szCs w:val="20"/>
                <w:lang w:eastAsia="zh-CN"/>
              </w:rPr>
            </w:pPr>
            <w:r>
              <w:rPr>
                <w:rFonts w:eastAsia="宋体"/>
                <w:bCs/>
                <w:sz w:val="16"/>
                <w:szCs w:val="20"/>
                <w:lang w:eastAsia="zh-CN"/>
              </w:rPr>
              <w:t>4</w:t>
            </w:r>
          </w:p>
        </w:tc>
      </w:tr>
      <w:tr w14:paraId="51D731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3" w:type="dxa"/>
            <w:vAlign w:val="center"/>
          </w:tcPr>
          <w:p w14:paraId="2244BA30">
            <w:pPr>
              <w:rPr>
                <w:rFonts w:eastAsia="宋体"/>
                <w:bCs/>
                <w:sz w:val="16"/>
                <w:szCs w:val="20"/>
                <w:lang w:eastAsia="zh-CN"/>
              </w:rPr>
            </w:pPr>
            <w:r>
              <w:rPr>
                <w:rFonts w:eastAsia="宋体"/>
                <w:bCs/>
                <w:sz w:val="16"/>
                <w:szCs w:val="20"/>
                <w:lang w:eastAsia="zh-CN"/>
              </w:rPr>
              <w:t>Expert types</w:t>
            </w:r>
          </w:p>
        </w:tc>
        <w:tc>
          <w:tcPr>
            <w:tcW w:w="4933" w:type="dxa"/>
            <w:vAlign w:val="center"/>
          </w:tcPr>
          <w:p w14:paraId="41A77F9B">
            <w:pPr>
              <w:rPr>
                <w:rFonts w:eastAsia="宋体"/>
                <w:bCs/>
                <w:sz w:val="16"/>
                <w:szCs w:val="20"/>
                <w:lang w:eastAsia="zh-CN"/>
              </w:rPr>
            </w:pPr>
            <w:r>
              <w:rPr>
                <w:rFonts w:eastAsia="宋体"/>
                <w:bCs/>
                <w:sz w:val="16"/>
                <w:szCs w:val="20"/>
                <w:lang w:eastAsia="zh-CN"/>
              </w:rPr>
              <w:t>11</w:t>
            </w:r>
          </w:p>
        </w:tc>
      </w:tr>
      <w:tr w14:paraId="5E0620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3" w:type="dxa"/>
            <w:vAlign w:val="center"/>
          </w:tcPr>
          <w:p w14:paraId="4799A7EB">
            <w:pPr>
              <w:rPr>
                <w:rFonts w:eastAsia="宋体"/>
                <w:bCs/>
                <w:sz w:val="16"/>
                <w:szCs w:val="20"/>
                <w:lang w:eastAsia="zh-CN"/>
              </w:rPr>
            </w:pPr>
            <w:r>
              <w:rPr>
                <w:rFonts w:eastAsia="宋体"/>
                <w:bCs/>
                <w:sz w:val="16"/>
                <w:szCs w:val="20"/>
                <w:lang w:eastAsia="zh-CN"/>
              </w:rPr>
              <w:t>Multi-expert ratio</w:t>
            </w:r>
          </w:p>
        </w:tc>
        <w:tc>
          <w:tcPr>
            <w:tcW w:w="4933" w:type="dxa"/>
            <w:vAlign w:val="center"/>
          </w:tcPr>
          <w:p w14:paraId="6CCBB5B0">
            <w:pPr>
              <w:rPr>
                <w:rFonts w:eastAsia="宋体"/>
                <w:bCs/>
                <w:sz w:val="16"/>
                <w:szCs w:val="20"/>
                <w:lang w:eastAsia="zh-CN"/>
              </w:rPr>
            </w:pPr>
            <w:r>
              <w:rPr>
                <w:rFonts w:eastAsia="宋体"/>
                <w:bCs/>
                <w:sz w:val="16"/>
                <w:szCs w:val="20"/>
                <w:lang w:eastAsia="zh-CN"/>
              </w:rPr>
              <w:t>45.1%</w:t>
            </w:r>
          </w:p>
        </w:tc>
      </w:tr>
      <w:tr w14:paraId="4ABFE9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3" w:type="dxa"/>
            <w:vAlign w:val="center"/>
          </w:tcPr>
          <w:p w14:paraId="2C1B34DC">
            <w:pPr>
              <w:rPr>
                <w:rFonts w:eastAsia="宋体"/>
                <w:bCs/>
                <w:sz w:val="16"/>
                <w:szCs w:val="20"/>
                <w:lang w:eastAsia="zh-CN"/>
              </w:rPr>
            </w:pPr>
            <w:r>
              <w:rPr>
                <w:rFonts w:eastAsia="宋体"/>
                <w:bCs/>
                <w:sz w:val="16"/>
                <w:szCs w:val="20"/>
                <w:lang w:eastAsia="zh-CN"/>
              </w:rPr>
              <w:t>Average quality score</w:t>
            </w:r>
          </w:p>
        </w:tc>
        <w:tc>
          <w:tcPr>
            <w:tcW w:w="4933" w:type="dxa"/>
            <w:vAlign w:val="center"/>
          </w:tcPr>
          <w:p w14:paraId="2AC7B6E3">
            <w:pPr>
              <w:rPr>
                <w:rFonts w:eastAsia="宋体"/>
                <w:bCs/>
                <w:sz w:val="16"/>
                <w:szCs w:val="20"/>
                <w:lang w:eastAsia="zh-CN"/>
              </w:rPr>
            </w:pPr>
            <w:r>
              <w:rPr>
                <w:rFonts w:eastAsia="宋体"/>
                <w:bCs/>
                <w:sz w:val="16"/>
                <w:szCs w:val="20"/>
                <w:lang w:eastAsia="zh-CN"/>
              </w:rPr>
              <w:t>0.667 (</w:t>
            </w:r>
            <m:oMath>
              <m:r>
                <m:rPr/>
                <w:rPr>
                  <w:rFonts w:ascii="Cambria Math" w:hAnsi="Cambria Math" w:eastAsia="宋体"/>
                  <w:sz w:val="16"/>
                  <w:szCs w:val="20"/>
                  <w:lang w:eastAsia="zh-CN"/>
                </w:rPr>
                <m:t>σ</m:t>
              </m:r>
            </m:oMath>
            <w:r>
              <w:rPr>
                <w:rFonts w:eastAsia="宋体"/>
                <w:bCs/>
                <w:sz w:val="16"/>
                <w:szCs w:val="20"/>
                <w:lang w:eastAsia="zh-CN"/>
              </w:rPr>
              <w:t>= 0.103)</w:t>
            </w:r>
          </w:p>
        </w:tc>
      </w:tr>
      <w:tr w14:paraId="2CCDC6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3" w:type="dxa"/>
            <w:vAlign w:val="center"/>
          </w:tcPr>
          <w:p w14:paraId="3F706E57">
            <w:pPr>
              <w:rPr>
                <w:rFonts w:eastAsia="宋体"/>
                <w:bCs/>
                <w:sz w:val="16"/>
                <w:szCs w:val="20"/>
                <w:lang w:eastAsia="zh-CN"/>
              </w:rPr>
            </w:pPr>
            <w:r>
              <w:rPr>
                <w:rFonts w:eastAsia="宋体"/>
                <w:bCs/>
                <w:sz w:val="16"/>
                <w:szCs w:val="20"/>
                <w:lang w:eastAsia="zh-CN"/>
              </w:rPr>
              <w:t>Average instruction length</w:t>
            </w:r>
          </w:p>
        </w:tc>
        <w:tc>
          <w:tcPr>
            <w:tcW w:w="4933" w:type="dxa"/>
            <w:vAlign w:val="center"/>
          </w:tcPr>
          <w:p w14:paraId="5745D373">
            <w:pPr>
              <w:rPr>
                <w:rFonts w:eastAsia="宋体"/>
                <w:bCs/>
                <w:sz w:val="16"/>
                <w:szCs w:val="20"/>
                <w:lang w:eastAsia="zh-CN"/>
              </w:rPr>
            </w:pPr>
            <w:r>
              <w:rPr>
                <w:rFonts w:eastAsia="宋体"/>
                <w:bCs/>
                <w:sz w:val="16"/>
                <w:szCs w:val="20"/>
                <w:lang w:eastAsia="zh-CN"/>
              </w:rPr>
              <w:t>106.5 characters</w:t>
            </w:r>
          </w:p>
        </w:tc>
      </w:tr>
      <w:tr w14:paraId="7FD465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3" w:type="dxa"/>
            <w:vAlign w:val="center"/>
          </w:tcPr>
          <w:p w14:paraId="6D425A20">
            <w:pPr>
              <w:rPr>
                <w:rFonts w:eastAsia="宋体"/>
                <w:bCs/>
                <w:sz w:val="16"/>
                <w:szCs w:val="20"/>
                <w:lang w:eastAsia="zh-CN"/>
              </w:rPr>
            </w:pPr>
            <w:r>
              <w:rPr>
                <w:rFonts w:eastAsia="宋体"/>
                <w:bCs/>
                <w:sz w:val="16"/>
                <w:szCs w:val="20"/>
                <w:lang w:eastAsia="zh-CN"/>
              </w:rPr>
              <w:t>Average response length</w:t>
            </w:r>
          </w:p>
        </w:tc>
        <w:tc>
          <w:tcPr>
            <w:tcW w:w="4933" w:type="dxa"/>
            <w:vAlign w:val="center"/>
          </w:tcPr>
          <w:p w14:paraId="25887A9B">
            <w:pPr>
              <w:rPr>
                <w:rFonts w:eastAsia="宋体"/>
                <w:bCs/>
                <w:sz w:val="16"/>
                <w:szCs w:val="20"/>
                <w:lang w:eastAsia="zh-CN"/>
              </w:rPr>
            </w:pPr>
            <w:r>
              <w:rPr>
                <w:rFonts w:eastAsia="宋体"/>
                <w:bCs/>
                <w:sz w:val="16"/>
                <w:szCs w:val="20"/>
                <w:lang w:eastAsia="zh-CN"/>
              </w:rPr>
              <w:t>380.4 characters</w:t>
            </w:r>
          </w:p>
        </w:tc>
      </w:tr>
    </w:tbl>
    <w:p w14:paraId="4A1C519B">
      <w:pPr>
        <w:pStyle w:val="168"/>
      </w:pPr>
      <w:r>
        <w:rPr>
          <w:rFonts w:hint="eastAsia" w:eastAsia="宋体"/>
          <w:lang w:eastAsia="zh-CN"/>
        </w:rPr>
        <w:t>3</w:t>
      </w:r>
      <w:r>
        <w:t> THE VERITASCARBON FRAMEWORK</w:t>
      </w:r>
    </w:p>
    <w:p w14:paraId="2ECEF11A">
      <w:pPr>
        <w:rPr>
          <w:rFonts w:eastAsia="宋体"/>
          <w:lang w:eastAsia="zh-CN"/>
        </w:rPr>
      </w:pPr>
      <w:r>
        <w:t>At the system level, VeritasCarbon is implemented as a modular four-stage pipeline with explicit interfaces between collection, corpus engineering, expert-guided generation, and release filtering. This modularization is central to the paper’s data-management contribution: every stage emits an intermediate artifact that can be audited, re-run, or replaced without collapsing the entire workflow. In contrast to generic instruction bootstrapping methods that optimize only the final generated text, VeritasCarbon optimizes the full path from source document to released dataset record.</w:t>
      </w:r>
    </w:p>
    <w:p w14:paraId="48324CD6">
      <w:pPr>
        <w:rPr>
          <w:rFonts w:ascii="Linux Libertine" w:hAnsi="Linux Libertine" w:eastAsia="宋体" w:cs="Linux Libertine"/>
          <w:b/>
          <w:bCs/>
          <w:sz w:val="22"/>
          <w:szCs w:val="20"/>
          <w:lang w:eastAsia="zh-CN"/>
          <w14:ligatures w14:val="standard"/>
        </w:rPr>
      </w:pPr>
      <w:r>
        <w:rPr>
          <w:rFonts w:hint="eastAsia" w:ascii="Linux Libertine" w:hAnsi="Linux Libertine" w:eastAsia="宋体" w:cs="Linux Libertine"/>
          <w:b/>
          <w:bCs/>
          <w:sz w:val="22"/>
          <w:szCs w:val="20"/>
          <w:lang w:eastAsia="zh-CN"/>
          <w14:ligatures w14:val="standard"/>
        </w:rPr>
        <w:t>3</w:t>
      </w:r>
      <w:r>
        <w:rPr>
          <w:rFonts w:ascii="Linux Libertine" w:hAnsi="Linux Libertine" w:eastAsia="宋体" w:cs="Linux Libertine"/>
          <w:b/>
          <w:bCs/>
          <w:sz w:val="22"/>
          <w:szCs w:val="20"/>
          <w:lang w:eastAsia="zh-CN"/>
          <w14:ligatures w14:val="standard"/>
        </w:rPr>
        <w:t>.1 Stage-level architecture</w:t>
      </w:r>
    </w:p>
    <w:p w14:paraId="4CBA7D8A">
      <w:pPr>
        <w:rPr>
          <w:lang w:eastAsia="zh-CN"/>
        </w:rPr>
      </w:pPr>
      <w:r>
        <w:rPr>
          <w:lang w:eastAsia="zh-CN"/>
        </w:rPr>
        <w:t>Stage 1, corpus collection and standardization, converts heterogeneous ESG documents into a unified processing representation. Stage 2, semantic segmentation and deduplication, transforms long semi-structured documents into semantically complete chunks suitable for expert routing. Stage 3, expert-guided generation, activates the CoDE engine to select experts, compose interaction patterns, produce candidate QA pairs, and refine them over bounded feedback rounds. Stage 4, quality filtering and source mapping, applies consistency checks and persists only those outputs that satisfy release criteria. The pipeline image also highlights an important system property: the dataset is not created by a single monolithic generator. It is created by a controlled workflow in which routing, selection, generation, scoring, and packaging are distinct operations.</w:t>
      </w:r>
    </w:p>
    <w:p w14:paraId="296F0222">
      <w:pPr>
        <w:rPr>
          <w:lang w:eastAsia="zh-CN"/>
        </w:rPr>
      </w:pPr>
      <w:r>
        <w:rPr>
          <w:lang w:eastAsia="zh-CN"/>
        </w:rPr>
        <w:t>This architecture supports controllability and reproducibility. Because the pipeline is hierarchical and interface-driven, it can be debugged as a workflow rather than treated as an opaque prompt chain. That design choice matters in ESG settings, where downstream users need not only strong responses but also a defensible trail back to source evidence and transformation history.</w:t>
      </w:r>
    </w:p>
    <w:p w14:paraId="22B19484">
      <w:pPr>
        <w:pStyle w:val="182"/>
      </w:pPr>
      <w:r>
        <w:rPr>
          <w:rFonts w:hint="eastAsia"/>
        </w:rPr>
        <w:t>3</w:t>
      </w:r>
      <w:r>
        <w:t>.2 Internal CoDE organization</w:t>
      </w:r>
    </w:p>
    <w:p w14:paraId="26509205">
      <w:r>
        <w:rPr>
          <w:lang w:eastAsia="zh-CN"/>
        </w:rPr>
        <w:t xml:space="preserve">The core engine of VeritasCarbon is CoDE (Council of Domain Experts). </w:t>
      </w:r>
      <w:r>
        <w:fldChar w:fldCharType="begin"/>
      </w:r>
      <w:r>
        <w:rPr>
          <w:lang w:eastAsia="zh-CN"/>
        </w:rPr>
        <w:instrText xml:space="preserve"> REF _Ref227987336 \h </w:instrText>
      </w:r>
      <w:r>
        <w:fldChar w:fldCharType="separate"/>
      </w:r>
      <w:r>
        <w:t>Figure 2</w:t>
      </w:r>
      <w:r>
        <w:fldChar w:fldCharType="end"/>
      </w:r>
      <w:r>
        <w:rPr>
          <w:lang w:eastAsia="zh-CN"/>
        </w:rPr>
        <w:t xml:space="preserve"> illustrates its internal architecture, which comprises seven interconnected modules.</w:t>
      </w:r>
    </w:p>
    <w:p w14:paraId="2DDE1389">
      <w:pPr>
        <w:rPr>
          <w:rFonts w:eastAsia="宋体"/>
          <w:lang w:eastAsia="zh-CN"/>
        </w:rPr>
      </w:pPr>
      <w:r>
        <w:t xml:space="preserve">The workflow begins with Module 1, which receives an input ESG chunk along with its metadata, source type, provenance ID, and task objective. Module 2 is a layered expert pool containing 11 agents organized into three tiers: general understanding (e.g., Disclosure, Policy), domain reasoning (Carbon Accounting, Risk, Governance), and quality assurance (Materiality, Assurance, Data Quality). Module 3, the MetaExpert orchestrator, parses the chunk intent, selects relevant expert layers, composes a team of up to </w:t>
      </w:r>
      <m:oMath>
        <m:r>
          <m:rPr/>
          <w:rPr>
            <w:rFonts w:ascii="Cambria Math" w:hAnsi="Cambria Math"/>
          </w:rPr>
          <m:t>K</m:t>
        </m:r>
      </m:oMath>
      <w:r>
        <w:t xml:space="preserve"> experts, and schedules the collaboration mode (sequential, parallel, or hybrid). Module 4 is the collaboration workspace, where selected experts generate draft questions and answers, critique each other's outputs, and align responses with source evidence. Module 5 implements a feedback refinement loop, applying structural, factual, and domain‑relevance checks; the loop iterates until quality is accepted or the maximum number of rounds R is reached. Module 6 performs verification and traceability packaging, scoring domain relevance, factual grounding, structural completeness, and non‑redundancy, then attaching source‑span links, expert‑path logs, and provenance metadata. Finally, Module 7 outputs a traceable QA pair containing the instruction, response, source evidence, provenance metadata, expert path, and quality score.</w:t>
      </w:r>
    </w:p>
    <w:p w14:paraId="3340D93C">
      <w:pPr>
        <w:rPr>
          <w:rFonts w:eastAsia="宋体"/>
          <w:lang w:eastAsia="zh-CN"/>
        </w:rPr>
        <w:sectPr>
          <w:type w:val="continuous"/>
          <w:pgSz w:w="12240" w:h="15840"/>
          <w:pgMar w:top="1080" w:right="1080" w:bottom="1152" w:left="1080" w:header="720" w:footer="720" w:gutter="0"/>
          <w:cols w:space="720" w:num="2"/>
          <w:docGrid w:linePitch="360" w:charSpace="0"/>
        </w:sectPr>
      </w:pPr>
    </w:p>
    <w:p w14:paraId="0BD518C1">
      <w:pPr>
        <w:pStyle w:val="184"/>
        <w:keepNext/>
      </w:pPr>
      <w:bookmarkStart w:id="3" w:name="_Ref226687734"/>
      <w:r>
        <w:drawing>
          <wp:inline distT="0" distB="0" distL="0" distR="0">
            <wp:extent cx="6400800" cy="1610360"/>
            <wp:effectExtent l="0" t="0" r="0" b="0"/>
            <wp:docPr id="14268181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18157" name="图片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400800" cy="1610360"/>
                    </a:xfrm>
                    <a:prstGeom prst="rect">
                      <a:avLst/>
                    </a:prstGeom>
                    <a:noFill/>
                    <a:ln>
                      <a:noFill/>
                    </a:ln>
                  </pic:spPr>
                </pic:pic>
              </a:graphicData>
            </a:graphic>
          </wp:inline>
        </w:drawing>
      </w:r>
    </w:p>
    <w:p w14:paraId="0ECB0C67">
      <w:pPr>
        <w:pStyle w:val="184"/>
        <w:rPr>
          <w:rFonts w:eastAsiaTheme="minorEastAsia"/>
        </w:rPr>
      </w:pPr>
      <w:bookmarkStart w:id="4" w:name="_Ref227987336"/>
      <w:r>
        <w:t xml:space="preserve">Figure </w:t>
      </w:r>
      <w:r>
        <w:fldChar w:fldCharType="begin"/>
      </w:r>
      <w:r>
        <w:instrText xml:space="preserve"> SEQ Figure \* ARABIC </w:instrText>
      </w:r>
      <w:r>
        <w:fldChar w:fldCharType="separate"/>
      </w:r>
      <w:r>
        <w:t>2</w:t>
      </w:r>
      <w:r>
        <w:fldChar w:fldCharType="end"/>
      </w:r>
      <w:bookmarkEnd w:id="3"/>
      <w:bookmarkEnd w:id="4"/>
      <w:r>
        <w:rPr>
          <w:rFonts w:hint="eastAsia"/>
        </w:rPr>
        <w:t xml:space="preserve"> </w:t>
      </w:r>
      <w:r>
        <w:t>CoDE internal architecture. Layered expert selection, MetaExpert orchestration, collaboration modes, and feedback refinement</w:t>
      </w:r>
    </w:p>
    <w:p w14:paraId="0C9F6BFF">
      <w:pPr>
        <w:sectPr>
          <w:type w:val="continuous"/>
          <w:pgSz w:w="12240" w:h="15840"/>
          <w:pgMar w:top="1080" w:right="1080" w:bottom="1152" w:left="1080" w:header="720" w:footer="720" w:gutter="0"/>
          <w:cols w:space="720" w:num="1"/>
          <w:docGrid w:linePitch="360" w:charSpace="0"/>
        </w:sectPr>
      </w:pPr>
    </w:p>
    <w:p w14:paraId="676EA920">
      <w:pPr>
        <w:rPr>
          <w:b/>
          <w:bCs/>
        </w:rPr>
      </w:pPr>
      <w:r>
        <w:rPr>
          <w:rFonts w:hint="eastAsia" w:eastAsia="宋体"/>
          <w:b/>
          <w:bCs/>
          <w:lang w:eastAsia="zh-CN"/>
        </w:rPr>
        <w:t>3</w:t>
      </w:r>
      <w:r>
        <w:rPr>
          <w:b/>
          <w:bCs/>
        </w:rPr>
        <w:t>.3 Provenance as a framework invariant</w:t>
      </w:r>
    </w:p>
    <w:p w14:paraId="47396AB5">
      <w:pPr>
        <w:rPr>
          <w:rFonts w:eastAsia="宋体"/>
          <w:lang w:eastAsia="zh-CN"/>
        </w:rPr>
      </w:pPr>
      <w:r>
        <w:t>A distinguishing framework invariant is that provenance is preserved throughout the pipeline. Every released pair remains bound to its originating chunk or chunk set, and the workflow logs intermediate expert outputs as well as feedback iterations. In practical terms, this means the framework can answer not only 'what instruction-response pair was released?' but also 'where did it come from?', 'which experts participated?', 'which quality gate admitted it?', and 'what intermediate transformations occurred before release?'. This is the point at which VeritasCarbon moves from being a prompt recipe to being a data-management system.</w:t>
      </w:r>
    </w:p>
    <w:p w14:paraId="1E714C8A">
      <w:pPr>
        <w:pStyle w:val="168"/>
      </w:pPr>
      <w:r>
        <w:rPr>
          <w:rFonts w:hint="eastAsia" w:eastAsia="宋体"/>
          <w:lang w:eastAsia="zh-CN"/>
        </w:rPr>
        <w:t>4</w:t>
      </w:r>
      <w:r>
        <w:t> METHODS</w:t>
      </w:r>
    </w:p>
    <w:p w14:paraId="7B921E80">
      <w:r>
        <w:t>This section rewrites the core technical procedure in implementation-oriented language. The intention is to make the bottom-layer logic easier to follow for readers who need to reproduce, adapt, or extend the system.</w:t>
      </w:r>
    </w:p>
    <w:p w14:paraId="2FA90292">
      <w:pPr>
        <w:rPr>
          <w:b/>
          <w:bCs/>
        </w:rPr>
      </w:pPr>
      <w:r>
        <w:rPr>
          <w:rFonts w:hint="eastAsia" w:eastAsia="宋体"/>
          <w:b/>
          <w:bCs/>
          <w:lang w:eastAsia="zh-CN"/>
        </w:rPr>
        <w:t>4</w:t>
      </w:r>
      <w:r>
        <w:rPr>
          <w:b/>
          <w:bCs/>
        </w:rPr>
        <w:t>.1 Corpus collection, parsing, and normalization</w:t>
      </w:r>
    </w:p>
    <w:p w14:paraId="01D46E70">
      <w:r>
        <w:t>The corpus processing layer ingests ESG reports in multiple file formats and converts them into a unified textual representation. The published paper states that the corpus spans four layers: 97 domain textbooks and reference materials, 17,425 CSR reports, 92 policy documents, and 107 industry research reports. Format-specific extractors preserve structural signals such as headings, tables, and paragraph boundaries during parsing. This detail is important because later segmentation and source mapping assume that structural boundaries still carry semantic value.</w:t>
      </w:r>
    </w:p>
    <w:p w14:paraId="4D9D7888">
      <w:r>
        <w:t>The accompanying preprocessing notebook extends that description with implementation details. The preprocessing routine supports PDF, DOCX, and TXT inputs; performs text cleaning to remove headers, footers, page numbers, and structural noise; repairs garbled encodings; converts Traditional Chinese to Simplified Chinese where needed; executes line-, paragraph-, and chunk-level deduplication; applies quality gates such as valid-character checks; and can be checkpointed and resumed. The notebook also records a cleaned chunk file, an optional audit log, and a checkpoint file to support reproducible reruns. These engineering details strengthen the reproducibility story because they make preprocessing a persistent data product rather than an undocumented one-time script.</w:t>
      </w:r>
    </w:p>
    <w:p w14:paraId="2D25DBF1">
      <w:pPr>
        <w:rPr>
          <w:b/>
          <w:bCs/>
        </w:rPr>
      </w:pPr>
      <w:r>
        <w:rPr>
          <w:rFonts w:hint="eastAsia" w:eastAsia="宋体"/>
          <w:b/>
          <w:bCs/>
          <w:lang w:eastAsia="zh-CN"/>
        </w:rPr>
        <w:t>4</w:t>
      </w:r>
      <w:r>
        <w:rPr>
          <w:b/>
          <w:bCs/>
        </w:rPr>
        <w:t>.2 Semantic segmentation and deduplication</w:t>
      </w:r>
    </w:p>
    <w:p w14:paraId="20737190">
      <w:r>
        <w:t xml:space="preserve">After parsing, long ESG documents are split into semantically complete chunks using a sliding-window strategy with overlap. </w:t>
      </w:r>
      <w:r>
        <w:rPr>
          <w:rFonts w:hint="eastAsia" w:eastAsia="宋体"/>
          <w:lang w:eastAsia="zh-CN"/>
        </w:rPr>
        <w:t>E</w:t>
      </w:r>
      <w:r>
        <w:t>ach chunk is constrained to roughly 200-800 characters and that split points are aligned with paragraph and section boundaries whenever possible. This choice balances two competing requirements: chunks must be short enough for efficient LLM processing, but long enough to preserve the local context needed for source-grounded generation.</w:t>
      </w:r>
    </w:p>
    <w:p w14:paraId="07D85FF5">
      <w:r>
        <w:t>Near-duplicate chunks are then identified with character n-gram similarity. Chunks whose Jaccard similarity exceeds 0.85 are merged, and the more complete version is retained. The goal is not merely storage reduction; it is to prevent repeated or nearly repeated content from biasing generation and evaluation. By deduplicating early, the system reduces the chance that one disclosure pattern dominates the instruction distribution simply because it is repeated across pages or documents.</w:t>
      </w:r>
    </w:p>
    <w:p w14:paraId="12E5E7CA">
      <w:pPr>
        <w:rPr>
          <w:b/>
          <w:bCs/>
        </w:rPr>
      </w:pPr>
      <w:r>
        <w:rPr>
          <w:rFonts w:hint="eastAsia" w:eastAsia="宋体"/>
          <w:b/>
          <w:bCs/>
          <w:lang w:eastAsia="zh-CN"/>
        </w:rPr>
        <w:t>4</w:t>
      </w:r>
      <w:r>
        <w:rPr>
          <w:b/>
          <w:bCs/>
        </w:rPr>
        <w:t>.3 Layered expert selection</w:t>
      </w:r>
    </w:p>
    <w:p w14:paraId="18F9E330">
      <w:r>
        <w:t>Given a chunk ci, VeritasCarbon computes a feature vector fi describing its content characteristics, such as whether the chunk contains numerical evidence, temporal references, standards language, comparisons, or structured entity-relation patterns. Expert activation is then performed layer by layer. The base layer includes QA, Summary, Extraction, Classification, and Analysis experts, and at least one base-layer expert is always selected. The analysis layer contains Temporal Analysis, Benchmark Comparison, and Greenwashing Detection experts, which are activated when the chunk exhibits temporal, comparative, or potentially misleading disclosure patterns. The verification layer contains Consistency Verification and Standard Alignment experts for chunks that require numerical cross-checking or reporting-standard alignment. The graph layer contains the Knowledge Graph expert, which is activated when relation-rich entity structure is detected.</w:t>
      </w:r>
    </w:p>
    <w:p w14:paraId="458D61C2">
      <w:r>
        <w:t xml:space="preserve">The routing policy accumulates experts across layers and truncates the active set to a maximum of </w:t>
      </w:r>
      <m:oMath>
        <m:r>
          <m:rPr/>
          <w:rPr>
            <w:rFonts w:ascii="Cambria Math" w:hAnsi="Cambria Math"/>
            <w:lang w:eastAsia="zh-CN"/>
          </w:rPr>
          <m:t>K</m:t>
        </m:r>
      </m:oMath>
      <w:r>
        <w:t xml:space="preserve"> experts, with </w:t>
      </w:r>
      <m:oMath>
        <m:r>
          <m:rPr/>
          <w:rPr>
            <w:rFonts w:ascii="Cambria Math" w:hAnsi="Cambria Math"/>
            <w:lang w:eastAsia="zh-CN"/>
          </w:rPr>
          <m:t>K</m:t>
        </m:r>
      </m:oMath>
      <w:r>
        <w:t xml:space="preserve"> = 3 used as the default operational setting. If the selection procedure returns too few experts, the controller adds additional base-layer experts to guarantee minimum coverage. Operationally, this makes CoDE a sparse-activation system: straightforward chunks remain inexpensive, while complex chunks invoke deeper specialization only when their observed features justify the extra computational cost.</w:t>
      </w:r>
    </w:p>
    <w:p w14:paraId="5BEC2797">
      <w:pPr>
        <w:rPr>
          <w:b/>
          <w:bCs/>
        </w:rPr>
      </w:pPr>
      <w:r>
        <w:rPr>
          <w:rFonts w:hint="eastAsia" w:eastAsia="宋体"/>
          <w:b/>
          <w:bCs/>
          <w:lang w:eastAsia="zh-CN"/>
        </w:rPr>
        <w:t>4</w:t>
      </w:r>
      <w:r>
        <w:rPr>
          <w:b/>
          <w:bCs/>
        </w:rPr>
        <w:t>.4 Collaboration modes and candidate construction</w:t>
      </w:r>
    </w:p>
    <w:p w14:paraId="0DB7BD13">
      <w:pPr>
        <w:spacing w:after="120" w:afterLines="50" w:line="240" w:lineRule="auto"/>
      </w:pPr>
      <w:r>
        <w:t xml:space="preserve">Once the active expert set has been fixed, VeritasCarbon supports two collaboration modes. In sequential collaboration, experts process the chunk in an ordered chain, and each expert receives the output of the previous expert as added context. This mode encourages progressive refinement, because later experts can correct, sharpen, or specialize an earlier draft. In parallel collaboration, all selected experts process the same chunk independently. The controller then compares the generated candidates with the quality function </w:t>
      </w:r>
      <m:oMath>
        <m:r>
          <m:rPr/>
          <w:rPr>
            <w:rFonts w:ascii="Cambria Math" w:hAnsi="Cambria Math" w:eastAsia="宋体"/>
            <w:sz w:val="16"/>
            <w:szCs w:val="20"/>
            <w:lang w:eastAsia="zh-CN"/>
          </w:rPr>
          <m:t>Q (</m:t>
        </m:r>
        <m:r>
          <m:rPr/>
          <w:rPr>
            <w:rFonts w:hint="eastAsia" w:ascii="Cambria Math" w:hAnsi="Cambria Math" w:eastAsia="宋体"/>
            <w:sz w:val="16"/>
            <w:szCs w:val="20"/>
            <w:lang w:eastAsia="zh-CN"/>
          </w:rPr>
          <m:t>o</m:t>
        </m:r>
        <m:r>
          <m:rPr/>
          <w:rPr>
            <w:rFonts w:ascii="Cambria Math" w:hAnsi="Cambria Math" w:eastAsia="宋体"/>
            <w:sz w:val="16"/>
            <w:szCs w:val="20"/>
            <w:lang w:eastAsia="zh-CN"/>
          </w:rPr>
          <m:t>,c)</m:t>
        </m:r>
      </m:oMath>
      <w:r>
        <w:t xml:space="preserve"> and retains the best candidate. This mode encourages diversity by allowing competing interpretations to be explored simultaneously before the system commits to one response.</w:t>
      </w:r>
    </w:p>
    <w:p w14:paraId="5CDD46FC">
      <w:r>
        <w:t xml:space="preserve">Both models are valid from a systems perspective. Sequential collaboration is closer to a staged refinement workflow, whereas parallel collaboration resembles a best-of-K execution strategy. </w:t>
      </w:r>
      <w:r>
        <w:rPr>
          <w:rFonts w:hint="eastAsia" w:eastAsia="宋体"/>
          <w:lang w:eastAsia="zh-CN"/>
        </w:rPr>
        <w:t>R</w:t>
      </w:r>
      <w:r>
        <w:t>esults show that both are beneficial relative to no collaboration, with parallel mode reaching the highest mean quality and sequential mode retaining a slight BLEU-4 advantage.</w:t>
      </w:r>
    </w:p>
    <w:p w14:paraId="2FF91D85">
      <w:pPr>
        <w:rPr>
          <w:b/>
          <w:bCs/>
        </w:rPr>
      </w:pPr>
      <w:r>
        <w:rPr>
          <w:rFonts w:hint="eastAsia" w:eastAsia="宋体"/>
          <w:b/>
          <w:bCs/>
          <w:lang w:eastAsia="zh-CN"/>
        </w:rPr>
        <w:t>4</w:t>
      </w:r>
      <w:r>
        <w:rPr>
          <w:b/>
          <w:bCs/>
        </w:rPr>
        <w:t>.5 MetaExpert orchestration and feedback refinement</w:t>
      </w:r>
    </w:p>
    <w:p w14:paraId="02EE4758">
      <w:r>
        <w:t>The MetaExpert is the coordinating component that converts expert outputs into releasable candidates. It operates in two stages. First, it aggregates and ranks expert outputs, then selects the top-k candidate drafts according to the quality scoring function. Second, it runs an iterative feedback loop over those candidates. In each round, the MetaExpert emits targeted improvement signals, such as requests for tighter source anchoring, better instruction formulation, or improved alignment with ESG topic intent. A quality gate is applied after each iteration, and the loop terminates either when the candidate converges or when the maximum number of rounds R is reached.</w:t>
      </w:r>
    </w:p>
    <w:p w14:paraId="0A33AE26">
      <w:r>
        <w:rPr>
          <w:lang w:eastAsia="zh-CN"/>
        </w:rPr>
        <w:t>When R = 0 still produces valid outputs, but with lower quality than R = 2. That result matters methodologically because it shows that the architecture is not dependent on feedback for basic generation, yet still benefits substantially from bounded iterative refinement.</w:t>
      </w:r>
      <w:r/>
      <m:oMath>
        <m:r>
          <m:rPr/>
          <w:rPr>
            <w:rFonts w:ascii="Cambria Math" w:hAnsi="Cambria Math"/>
          </w:rPr>
          <m:t xml:space="preserve">R </m:t>
        </m:r>
      </m:oMath>
      <w:r/>
      <m:oMath>
        <m:r>
          <m:rPr/>
          <w:rPr>
            <w:rFonts w:ascii="Cambria Math" w:hAnsi="Cambria Math"/>
          </w:rPr>
          <m:t>R</m:t>
        </m:r>
      </m:oMath>
      <w:r/>
    </w:p>
    <w:p w14:paraId="7BAC9D9A">
      <w:pPr>
        <w:rPr>
          <w:b/>
          <w:bCs/>
        </w:rPr>
      </w:pPr>
      <w:r>
        <w:rPr>
          <w:rFonts w:hint="eastAsia" w:eastAsia="宋体"/>
          <w:b/>
          <w:bCs/>
          <w:lang w:eastAsia="zh-CN"/>
        </w:rPr>
        <w:t>4</w:t>
      </w:r>
      <w:r>
        <w:rPr>
          <w:b/>
          <w:bCs/>
        </w:rPr>
        <w:t>.6 Quality validation and traceability packaging</w:t>
      </w:r>
    </w:p>
    <w:p w14:paraId="28271DD0">
      <w:r>
        <w:t>After generation, candidates move into a validation-and-packaging phase. The quality validator scores domain relevance, source fidelity, lexical diversity, factual grounding, and structural completeness. Only candidates that exceed the release threshold τ are preserved. The traceability binder then attaches source-chunk identifiers, expert-path metadata, and related provenance records so that each dataset item can be traced back to its originating corpus fragment.</w:t>
      </w:r>
    </w:p>
    <w:p w14:paraId="7FAF8F72">
      <w:r>
        <w:t>This packaging step is not merely bookkeeping. It is the reason the final release can be treated as a traceable instruction dataset rather than a generic synthetic corpus. The final schema stores at least the instruction, the answer, the source chunk linkage, provenance metadata, expert-path metadata, and a quality score. Because these metadata are persisted with the final example, downstream users can audit outputs at the record level instead of relying on global claims about the generation pipeline.</w:t>
      </w:r>
    </w:p>
    <w:p w14:paraId="0D1F1548">
      <w:pPr>
        <w:rPr>
          <w:b/>
          <w:bCs/>
        </w:rPr>
      </w:pPr>
      <w:r>
        <w:rPr>
          <w:rFonts w:hint="eastAsia" w:eastAsia="宋体"/>
          <w:b/>
          <w:bCs/>
          <w:lang w:eastAsia="zh-CN"/>
        </w:rPr>
        <w:t>4</w:t>
      </w:r>
      <w:r>
        <w:rPr>
          <w:b/>
          <w:bCs/>
        </w:rPr>
        <w:t>.7 Reproducibility assets and practical reruns</w:t>
      </w:r>
    </w:p>
    <w:p w14:paraId="7754995E">
      <w:r>
        <w:t>The paper and the associated files emphasize reproducibility at three levels. At the data level, preprocessing outputs are materialized as cleaned chunk files and audit logs. At the model level, all compared methods use the same Qwen2-72B-Instruct model so that performance differences can be attributed to method design rather than model choice. At the workflow level, the system can be re-executed from intermediate artifacts, which is essential for debugging quality regressions, re-running only selected corpus layers, or auditing changes in expert-selection logic. Together, these choices make VeritasCarbon more reproducible than prompt-only pipelines whose intermediate transformations are discarded.</w:t>
      </w:r>
    </w:p>
    <w:p w14:paraId="610445B9">
      <w:pPr>
        <w:pStyle w:val="168"/>
        <w:rPr>
          <w:rFonts w:eastAsia="宋体"/>
          <w:lang w:eastAsia="zh-CN"/>
        </w:rPr>
      </w:pPr>
      <w:r>
        <w:rPr>
          <w:rFonts w:hint="eastAsia" w:eastAsia="宋体"/>
          <w:lang w:eastAsia="zh-CN"/>
        </w:rPr>
        <w:t>5</w:t>
      </w:r>
      <w:r>
        <w:t> </w:t>
      </w:r>
      <w:r>
        <w:rPr>
          <w:rFonts w:eastAsia="宋体"/>
          <w:lang w:eastAsia="zh-CN"/>
        </w:rPr>
        <w:t>EVALUATION AND PERFORMANCE</w:t>
      </w:r>
    </w:p>
    <w:p w14:paraId="7BF3A1DF">
      <w:pPr>
        <w:rPr>
          <w:lang w:eastAsia="zh-CN"/>
        </w:rPr>
      </w:pPr>
      <w:r>
        <w:rPr>
          <w:lang w:eastAsia="zh-CN"/>
        </w:rPr>
        <w:t>The evaluation is organized around four questions: whether CoDE improves intrinsic data quality relative to strong baselines, which architectural choices drive performance, whether the system scales with corpus size, and what the released dataset looks like as a data product. All methods use the same underlying model (Qwen2-72B-Instruct) and are measured on aligned samples to ensure fair comparison.</w:t>
      </w:r>
    </w:p>
    <w:p w14:paraId="4C95D5C8">
      <w:pPr>
        <w:pStyle w:val="182"/>
      </w:pPr>
      <w:r>
        <w:rPr>
          <w:rFonts w:hint="eastAsia"/>
        </w:rPr>
        <w:t>5</w:t>
      </w:r>
      <w:r>
        <w:t>.1 Experimental setup</w:t>
      </w:r>
    </w:p>
    <w:p w14:paraId="2B37378B">
      <w:pPr>
        <w:rPr>
          <w:lang w:eastAsia="zh-CN"/>
        </w:rPr>
      </w:pPr>
      <w:r>
        <w:rPr>
          <w:lang w:eastAsia="zh-CN"/>
        </w:rPr>
        <w:t>The released VeritasCarbon-ESG-35K dataset is constructed from 17,721 source documents and 20,000 semantically complete chunks. CoDE generates 35,009 instruction-response pairs, with all 11 expert types represented and 45.1% of released pairs involving multi-expert collaboration. Baseline comparisons are conducted on n = 2,000 pairs per method using direct prompting, Self-Instruct, and WizardLM-Evol. Ablation experiments are performed on n = 500 samples per condition across four design dimensions: expert count, collaboration mode, feedback rounds, and knowledge injection.</w:t>
      </w:r>
    </w:p>
    <w:p w14:paraId="005A99D4">
      <w:pPr>
        <w:rPr>
          <w:lang w:eastAsia="zh-CN"/>
        </w:rPr>
      </w:pPr>
      <w:r>
        <w:rPr>
          <w:lang w:eastAsia="zh-CN"/>
        </w:rPr>
        <w:t>Seven intrinsic metrics are used in the paper. ROUGE-L measures source fidelity through longest-common-subsequence overlaps with the source chunk. BLEU-4 measures precision of generated wording. Distinct-2 and Distinct-3 measure lexical diversity. Domain Relevance captures coverage of ESG-specific vocabulary. FactCheck measures how often numerical values in the response appear in the source chunk. Structural Completeness checks that instructions and responses are non-trivial in length. Together, these metrics emphasize linguistic quality, grounding, domain fit, and release readiness.</w:t>
      </w:r>
    </w:p>
    <w:p w14:paraId="2ECC14B0">
      <w:pPr>
        <w:pStyle w:val="182"/>
      </w:pPr>
      <w:r>
        <w:rPr>
          <w:rFonts w:hint="eastAsia"/>
        </w:rPr>
        <w:t>5</w:t>
      </w:r>
      <w:r>
        <w:t>.2 Main comparative results</w:t>
      </w:r>
    </w:p>
    <w:p w14:paraId="7DE14293">
      <w:pPr>
        <w:rPr>
          <w:rFonts w:eastAsia="宋体"/>
          <w:lang w:eastAsia="zh-CN"/>
        </w:rPr>
      </w:pPr>
      <w:r>
        <w:rPr>
          <w:lang w:eastAsia="zh-CN"/>
        </w:rPr>
        <w:t xml:space="preserve">The main intrinsic evaluation demonstrates a wide margin between CoDE and all three baselines (Figure 3). The largest gaps appear in source fidelity, domain relevance, and generation diversity. CoDE achieves ROUGE‑L = 0.3380 and BLEU‑4 = 0.1932, compared with 0.0838 and 0.0424 for direct prompting. It also reaches domain relevance = 0.3637, far above the best baseline at 0.0249. These gains confirm that domain‑specialized multi‑expert generation produces outputs more strongly anchored to ESG source material than generic instruction‑generation pipelines. </w:t>
      </w:r>
      <w:r>
        <w:rPr>
          <w:rFonts w:hint="eastAsia" w:eastAsia="宋体"/>
          <w:lang w:eastAsia="zh-CN"/>
        </w:rPr>
      </w:r>
      <w:r>
        <w:rPr>
          <w:rFonts w:eastAsia="宋体"/>
          <w:lang w:eastAsia="zh-CN"/>
        </w:rPr>
      </w:r>
      <w:r>
        <w:rPr>
          <w:rFonts w:eastAsia="宋体"/>
          <w:lang w:eastAsia="zh-CN"/>
        </w:rPr>
      </w:r>
      <w:r>
        <w:rPr>
          <w:rFonts w:hint="eastAsia" w:eastAsia="宋体"/>
          <w:lang w:eastAsia="zh-CN"/>
        </w:rPr>
      </w:r>
      <w:r>
        <w:rPr>
          <w:rFonts w:eastAsia="宋体"/>
          <w:lang w:eastAsia="zh-CN"/>
        </w:rPr>
      </w:r>
      <w:r>
        <w:rPr>
          <w:rFonts w:eastAsia="宋体"/>
          <w:lang w:eastAsia="zh-CN"/>
        </w:rPr>
      </w:r>
      <w:r/>
      <w:r>
        <w:rPr>
          <w:rFonts w:eastAsia="宋体"/>
          <w:lang w:eastAsia="zh-CN"/>
        </w:rPr>
      </w:r>
      <w:r>
        <w:rPr>
          <w:rFonts w:hint="eastAsia" w:eastAsia="宋体"/>
          <w:lang w:eastAsia="zh-CN"/>
        </w:rPr>
      </w:r>
      <w:r>
        <w:rPr>
          <w:lang w:eastAsia="zh-CN"/>
        </w:rPr>
      </w:r>
      <w:r>
        <w:rPr>
          <w:rFonts w:hint="eastAsia" w:eastAsia="宋体"/>
          <w:lang w:eastAsia="zh-CN"/>
        </w:rPr>
      </w:r>
      <w:r>
        <w:rPr>
          <w:lang w:eastAsia="zh-CN"/>
        </w:rPr>
      </w:r>
      <w:r>
        <w:rPr>
          <w:rFonts w:hint="eastAsia" w:eastAsia="宋体"/>
          <w:lang w:eastAsia="zh-CN"/>
        </w:rPr>
      </w:r>
      <w:r>
        <w:rPr>
          <w:lang w:eastAsia="zh-CN"/>
        </w:rPr>
      </w:r>
      <w:r>
        <w:rPr>
          <w:rFonts w:hint="eastAsia" w:eastAsia="宋体"/>
          <w:lang w:eastAsia="zh-CN"/>
        </w:rPr>
      </w:r>
      <w:r>
        <w:rPr>
          <w:lang w:eastAsia="zh-CN"/>
        </w:rPr>
      </w:r>
      <w:r/>
    </w:p>
    <w:p w14:paraId="3C05FFAB">
      <w:pPr>
        <w:keepNext/>
      </w:pPr>
      <w:r>
        <w:drawing>
          <wp:inline distT="0" distB="0" distL="0" distR="0">
            <wp:extent cx="2971165" cy="2225675"/>
            <wp:effectExtent l="0" t="0" r="635" b="3175"/>
            <wp:docPr id="1709549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49030" name="图片 2"/>
                    <pic:cNvPicPr>
                      <a:picLocks noChangeAspect="1" noChangeArrowheads="1"/>
                    </pic:cNvPicPr>
                  </pic:nvPicPr>
                  <pic:blipFill>
                    <a:blip r:embed="rId10">
                      <a:extLst>
                        <a:ext uri="{28A0092B-C50C-407E-A947-70E740481C1C}">
                          <a14:useLocalDpi xmlns:a14="http://schemas.microsoft.com/office/drawing/2010/main" val="0"/>
                        </a:ext>
                      </a:extLst>
                    </a:blip>
                    <a:srcRect t="5375" b="6416"/>
                    <a:stretch>
                      <a:fillRect/>
                    </a:stretch>
                  </pic:blipFill>
                  <pic:spPr>
                    <a:xfrm>
                      <a:off x="0" y="0"/>
                      <a:ext cx="2971800" cy="2225931"/>
                    </a:xfrm>
                    <a:prstGeom prst="rect">
                      <a:avLst/>
                    </a:prstGeom>
                    <a:noFill/>
                    <a:ln>
                      <a:noFill/>
                    </a:ln>
                  </pic:spPr>
                </pic:pic>
              </a:graphicData>
            </a:graphic>
          </wp:inline>
        </w:drawing>
      </w:r>
    </w:p>
    <w:p w14:paraId="2ED06C2C">
      <w:pPr>
        <w:pStyle w:val="184"/>
      </w:pPr>
      <w:bookmarkStart w:id="5" w:name="_Ref227916274"/>
      <w:bookmarkStart w:id="6" w:name="_Ref226683720"/>
      <w:r>
        <w:t xml:space="preserve">Figure </w:t>
      </w:r>
      <w:r>
        <w:fldChar w:fldCharType="begin"/>
      </w:r>
      <w:r>
        <w:instrText xml:space="preserve"> SEQ Figure \* ARABIC </w:instrText>
      </w:r>
      <w:r>
        <w:fldChar w:fldCharType="separate"/>
      </w:r>
      <w:r>
        <w:t>4</w:t>
      </w:r>
      <w:r>
        <w:fldChar w:fldCharType="end"/>
      </w:r>
      <w:bookmarkEnd w:id="5"/>
      <w:bookmarkEnd w:id="6"/>
      <w:r>
        <w:rPr>
          <w:rFonts w:hint="eastAsia"/>
        </w:rPr>
        <w:t xml:space="preserve"> </w:t>
      </w:r>
      <w:r>
        <w:t>Comparison of CoDE against three baselines</w:t>
      </w:r>
    </w:p>
    <w:p w14:paraId="2DE2E790">
      <w:pPr>
        <w:rPr>
          <w:lang w:eastAsia="zh-CN"/>
        </w:rPr>
      </w:pPr>
      <w:r>
        <w:rPr>
          <w:lang w:eastAsia="zh-CN"/>
        </w:rPr>
        <w:t>The baseline breakdown is also informative. Self-Instruct maintains relatively strong FactCheck but very low ROUGE-L, suggesting safer yet weakly grounded responses. WizardLM-Evol retains some domain vocabulary but performs poorly on factual grounding. Direct Prompting is the strongest baseline overall, yet still falls well short of CoDE on every quality-oriented metric except structural completeness, where all methods are near saturation.</w:t>
      </w:r>
    </w:p>
    <w:p w14:paraId="74DA3D46">
      <w:pPr>
        <w:pStyle w:val="182"/>
      </w:pPr>
      <w:r>
        <w:rPr>
          <w:rFonts w:hint="eastAsia"/>
        </w:rPr>
        <w:t>5</w:t>
      </w:r>
      <w:r>
        <w:t>.3 Ablation study</w:t>
      </w:r>
    </w:p>
    <w:p w14:paraId="13FB78BB">
      <w:pPr>
        <w:rPr>
          <w:rFonts w:eastAsia="宋体"/>
          <w:lang w:eastAsia="zh-CN"/>
        </w:rPr>
      </w:pPr>
      <w:r>
        <w:rPr>
          <w:lang w:eastAsia="zh-CN"/>
        </w:rPr>
        <w:t>The ablation study isolates the contribution of each main design dimension (Table 3). With respect to expert count, moving from K = 1 to K = 2 produces the largest jump in mean quality, while gains beyond K = 2 become marginal. Therefore, we interpret K = 3 as a practical compromise between output quality and cost. For collaboration mode, both sequential and parallel collaboration outperform the no-collaboration baseline, confirming that expert interaction is intrinsically beneficial rather than decorative. Parallel collaboration attains the highest reported mean quality (0.647). For feedback rounds: when feedback is disabled (R = 0), the system still produces valid outputs, but mean quality rises from 0.626 at R = 0 to 0.649 at R = 2. Thus, feedback acts as a quality amplifier rather than an architectural prerequisite. Knowledge injection shows a smaller but positive effect, indicating that prompt‑specialized experts already encode meaningful domain knowledge, yet explicit injection remains useful for alignment with ESG terminology and standards.</w:t>
      </w:r>
      <w:r>
        <w:rPr>
          <w:rFonts w:hint="eastAsia" w:eastAsia="宋体"/>
          <w:lang w:eastAsia="zh-CN"/>
        </w:rPr>
      </w:r>
      <w:r>
        <w:rPr>
          <w:rFonts w:eastAsia="宋体"/>
          <w:lang w:eastAsia="zh-CN"/>
        </w:rPr>
      </w:r>
      <w:r>
        <w:rPr>
          <w:rFonts w:eastAsia="宋体"/>
          <w:lang w:eastAsia="zh-CN"/>
        </w:rPr>
      </w:r>
      <w:r>
        <w:rPr>
          <w:rFonts w:hint="eastAsia" w:eastAsia="宋体"/>
          <w:lang w:eastAsia="zh-CN"/>
        </w:rPr>
      </w:r>
      <w:r>
        <w:rPr>
          <w:rFonts w:eastAsia="宋体"/>
          <w:lang w:eastAsia="zh-CN"/>
        </w:rPr>
      </w:r>
      <w:r>
        <w:rPr>
          <w:rFonts w:eastAsia="宋体"/>
          <w:lang w:eastAsia="zh-CN"/>
        </w:rPr>
      </w:r>
      <w:r/>
      <w:r>
        <w:rPr>
          <w:rFonts w:eastAsia="宋体"/>
          <w:lang w:eastAsia="zh-CN"/>
        </w:rPr>
      </w:r>
      <w:r>
        <w:rPr>
          <w:rFonts w:hint="eastAsia" w:eastAsia="宋体"/>
          <w:lang w:eastAsia="zh-CN"/>
        </w:rPr>
      </w:r>
      <w:r>
        <w:rPr>
          <w:lang w:eastAsia="zh-CN"/>
        </w:rPr>
      </w:r>
      <m:oMath>
        <m:r>
          <m:rPr/>
          <w:rPr>
            <w:rFonts w:ascii="Cambria Math" w:hAnsi="Cambria Math"/>
            <w:lang w:eastAsia="zh-CN"/>
          </w:rPr>
          <m:t>K</m:t>
        </m:r>
      </m:oMath>
      <w:r>
        <w:rPr>
          <w:lang w:eastAsia="zh-CN"/>
        </w:rPr>
      </w:r>
      <m:oMath>
        <m:r>
          <m:rPr/>
          <w:rPr>
            <w:rFonts w:ascii="Cambria Math" w:hAnsi="Cambria Math"/>
            <w:lang w:eastAsia="zh-CN"/>
          </w:rPr>
          <m:t>K</m:t>
        </m:r>
      </m:oMath>
      <w:r>
        <w:rPr>
          <w:lang w:eastAsia="zh-CN"/>
        </w:rPr>
      </w:r>
      <m:oMath>
        <m:r>
          <m:rPr/>
          <w:rPr>
            <w:rFonts w:ascii="Cambria Math" w:hAnsi="Cambria Math"/>
            <w:lang w:eastAsia="zh-CN"/>
          </w:rPr>
          <m:t>K</m:t>
        </m:r>
      </m:oMath>
      <w:r>
        <w:rPr>
          <w:lang w:eastAsia="zh-CN"/>
        </w:rPr>
      </w:r>
      <w:r>
        <w:rPr>
          <w:rFonts w:hint="eastAsia" w:eastAsia="宋体"/>
          <w:lang w:eastAsia="zh-CN"/>
        </w:rPr>
      </w:r>
      <w:r>
        <w:rPr>
          <w:lang w:eastAsia="zh-CN"/>
        </w:rPr>
      </w:r>
      <m:oMath>
        <m:r>
          <m:rPr/>
          <w:rPr>
            <w:rFonts w:ascii="Cambria Math" w:hAnsi="Cambria Math"/>
            <w:lang w:eastAsia="zh-CN"/>
          </w:rPr>
          <m:t>K</m:t>
        </m:r>
      </m:oMath>
      <w:r>
        <w:rPr>
          <w:lang w:eastAsia="zh-CN"/>
        </w:rPr>
      </w:r>
      <w:r/>
      <w:r>
        <w:rPr>
          <w:lang w:eastAsia="zh-CN"/>
        </w:rPr>
      </w:r>
      <m:oMath>
        <m:r>
          <m:rPr/>
          <w:rPr>
            <w:rFonts w:ascii="Cambria Math" w:hAnsi="Cambria Math"/>
          </w:rPr>
          <m:t>R</m:t>
        </m:r>
      </m:oMath>
      <w:r>
        <w:rPr>
          <w:lang w:eastAsia="zh-CN"/>
        </w:rPr>
      </w:r>
      <m:oMath>
        <m:r>
          <m:rPr/>
          <w:rPr>
            <w:rFonts w:ascii="Cambria Math" w:hAnsi="Cambria Math"/>
          </w:rPr>
          <m:t>R</m:t>
        </m:r>
      </m:oMath>
      <w:r>
        <w:rPr>
          <w:lang w:eastAsia="zh-CN"/>
        </w:rPr>
      </w:r>
      <m:oMath>
        <m:r>
          <m:rPr/>
          <w:rPr>
            <w:rFonts w:ascii="Cambria Math" w:hAnsi="Cambria Math"/>
          </w:rPr>
          <m:t>R</m:t>
        </m:r>
      </m:oMath>
      <w:r>
        <w:rPr>
          <w:lang w:eastAsia="zh-CN"/>
        </w:rPr>
      </w:r>
    </w:p>
    <w:p w14:paraId="315349EB">
      <w:pPr>
        <w:pStyle w:val="182"/>
      </w:pPr>
      <w:r>
        <w:rPr>
          <w:rFonts w:hint="eastAsia"/>
        </w:rPr>
        <w:t>5</w:t>
      </w:r>
      <w:r>
        <w:t>.4 Scalability evaluation</w:t>
      </w:r>
    </w:p>
    <w:p w14:paraId="089F5586">
      <w:pPr>
        <w:rPr>
          <w:rFonts w:eastAsia="宋体"/>
          <w:lang w:eastAsia="zh-CN"/>
        </w:rPr>
      </w:pPr>
      <w:r>
        <w:rPr>
          <w:lang w:eastAsia="zh-CN"/>
        </w:rPr>
        <w:t xml:space="preserve">The scalability study varies the input size from 500 to 20,000 chunks. </w:t>
      </w:r>
      <w:r>
        <w:rPr>
          <w:lang w:eastAsia="zh-CN"/>
        </w:rPr>
        <w:fldChar w:fldCharType="begin"/>
      </w:r>
      <w:r>
        <w:rPr>
          <w:lang w:eastAsia="zh-CN"/>
        </w:rPr>
        <w:instrText xml:space="preserve"> REF _Ref226685825 \h </w:instrText>
      </w:r>
      <w:r>
        <w:rPr>
          <w:lang w:eastAsia="zh-CN"/>
        </w:rPr>
        <w:fldChar w:fldCharType="separate"/>
      </w:r>
      <w:r>
        <w:t>Figure 4</w:t>
      </w:r>
      <w:r>
        <w:rPr>
          <w:lang w:eastAsia="zh-CN"/>
        </w:rPr>
        <w:fldChar w:fldCharType="end"/>
      </w:r>
      <w:r>
        <w:rPr>
          <w:lang w:eastAsia="zh-CN"/>
        </w:rPr>
        <w:t xml:space="preserve"> plots throughput as a function of corpus size. Wall-clock time grows approximately linearly, while throughput remains stable between 23 and 26 QA pairs per minute. Processing 20,000 chunks takes about 12.8 hours, and token consumption scales linearly at roughly 800 tokens per chunk. These results confirm that CoDE is suitable for large-scale data generation without architectural modifications. Table 4 reports detailed resource consumption (generation time, throughput, API calls, and tokens) across corpus sizes.</w:t>
      </w:r>
    </w:p>
    <w:p w14:paraId="36F732F1">
      <w:pPr>
        <w:keepNext/>
      </w:pPr>
      <w:r>
        <w:drawing>
          <wp:inline distT="0" distB="0" distL="0" distR="0">
            <wp:extent cx="2971800" cy="1245870"/>
            <wp:effectExtent l="0" t="0" r="0" b="0"/>
            <wp:docPr id="665289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89572" name="图片 1"/>
                    <pic:cNvPicPr>
                      <a:picLocks noChangeAspect="1"/>
                    </pic:cNvPicPr>
                  </pic:nvPicPr>
                  <pic:blipFill>
                    <a:blip r:embed="rId11"/>
                    <a:stretch>
                      <a:fillRect/>
                    </a:stretch>
                  </pic:blipFill>
                  <pic:spPr>
                    <a:xfrm>
                      <a:off x="0" y="0"/>
                      <a:ext cx="2971800" cy="1245870"/>
                    </a:xfrm>
                    <a:prstGeom prst="rect">
                      <a:avLst/>
                    </a:prstGeom>
                  </pic:spPr>
                </pic:pic>
              </a:graphicData>
            </a:graphic>
          </wp:inline>
        </w:drawing>
      </w:r>
    </w:p>
    <w:p w14:paraId="446A0DD5">
      <w:pPr>
        <w:pStyle w:val="184"/>
        <w:rPr>
          <w:rFonts w:eastAsiaTheme="minorEastAsia"/>
        </w:rPr>
      </w:pPr>
      <w:bookmarkStart w:id="7" w:name="_Ref226685825"/>
      <w:r>
        <w:t xml:space="preserve">Figure </w:t>
      </w:r>
      <w:r>
        <w:fldChar w:fldCharType="begin"/>
      </w:r>
      <w:r>
        <w:instrText xml:space="preserve"> SEQ Figure \* ARABIC </w:instrText>
      </w:r>
      <w:r>
        <w:fldChar w:fldCharType="separate"/>
      </w:r>
      <w:r>
        <w:t>5</w:t>
      </w:r>
      <w:r>
        <w:fldChar w:fldCharType="end"/>
      </w:r>
      <w:bookmarkEnd w:id="7"/>
      <w:r>
        <w:rPr>
          <w:rFonts w:hint="eastAsia"/>
        </w:rPr>
        <w:t xml:space="preserve"> G</w:t>
      </w:r>
      <w:r>
        <w:t>eneration time scales linearly</w:t>
      </w:r>
      <w:r>
        <w:rPr>
          <w:rFonts w:hint="eastAsia"/>
        </w:rPr>
        <w:t xml:space="preserve"> </w:t>
      </w:r>
      <w:r>
        <w:t>with corpus size</w:t>
      </w:r>
      <w:r>
        <w:rPr>
          <w:rFonts w:hint="eastAsia" w:ascii="宋体" w:hAnsi="宋体" w:cs="宋体"/>
        </w:rPr>
        <w:t xml:space="preserve">. </w:t>
      </w:r>
      <w:r>
        <w:rPr>
          <w:rFonts w:hint="eastAsia"/>
        </w:rPr>
        <w:t>(a)</w:t>
      </w:r>
      <w:r>
        <w:t xml:space="preserve"> Scalability of CoDE</w:t>
      </w:r>
      <w:r>
        <w:rPr>
          <w:rFonts w:hint="eastAsia"/>
        </w:rPr>
        <w:t>; (b) throughput stability</w:t>
      </w:r>
    </w:p>
    <w:p w14:paraId="63A0A110">
      <w:pPr>
        <w:rPr>
          <w:rFonts w:eastAsia="宋体"/>
          <w:lang w:eastAsia="zh-CN"/>
        </w:rPr>
      </w:pPr>
    </w:p>
    <w:p w14:paraId="69A37106">
      <w:pPr>
        <w:rPr>
          <w:rFonts w:eastAsia="宋体"/>
          <w:lang w:eastAsia="zh-CN"/>
        </w:rPr>
        <w:sectPr>
          <w:type w:val="continuous"/>
          <w:pgSz w:w="12240" w:h="15840"/>
          <w:pgMar w:top="1080" w:right="1080" w:bottom="1152" w:left="1080" w:header="720" w:footer="720" w:gutter="0"/>
          <w:cols w:space="720" w:num="2"/>
          <w:docGrid w:linePitch="360" w:charSpace="0"/>
        </w:sectPr>
      </w:pPr>
    </w:p>
    <w:p w14:paraId="48E15050">
      <w:pPr>
        <w:pStyle w:val="184"/>
      </w:pPr>
      <w:bookmarkStart w:id="8" w:name="_Ref227982409"/>
      <w:r>
        <w:t xml:space="preserve">Table </w:t>
      </w:r>
      <w:r>
        <w:fldChar w:fldCharType="begin"/>
      </w:r>
      <w:r>
        <w:instrText xml:space="preserve"> SEQ Table \* ARABIC </w:instrText>
      </w:r>
      <w:r>
        <w:fldChar w:fldCharType="separate"/>
      </w:r>
      <w:r>
        <w:t>3</w:t>
      </w:r>
      <w:r>
        <w:fldChar w:fldCharType="end"/>
      </w:r>
      <w:bookmarkEnd w:id="8"/>
      <w:r>
        <w:rPr>
          <w:rFonts w:hint="eastAsia"/>
        </w:rPr>
        <w:t xml:space="preserve"> </w:t>
      </w:r>
      <w:r>
        <w:t>Ablation study results across four dimensions (</w:t>
      </w:r>
      <w:r>
        <w:rPr>
          <w:rFonts w:ascii="Cambria Math" w:hAnsi="Cambria Math" w:cs="Cambria Math"/>
        </w:rPr>
        <w:t>𝑛</w:t>
      </w:r>
      <w:r>
        <w:t xml:space="preserve"> = 500 per condition). Best results per dimension are in bold.</w:t>
      </w:r>
    </w:p>
    <w:tbl>
      <w:tblPr>
        <w:tblStyle w:val="34"/>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6"/>
        <w:gridCol w:w="1292"/>
        <w:gridCol w:w="1244"/>
        <w:gridCol w:w="1281"/>
        <w:gridCol w:w="1236"/>
        <w:gridCol w:w="1088"/>
        <w:gridCol w:w="1252"/>
        <w:gridCol w:w="1311"/>
      </w:tblGrid>
      <w:tr w14:paraId="7284DA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tcBorders>
              <w:top w:val="single" w:color="auto" w:sz="8" w:space="0"/>
              <w:bottom w:val="single" w:color="auto" w:sz="4" w:space="0"/>
            </w:tcBorders>
            <w:vAlign w:val="center"/>
          </w:tcPr>
          <w:p w14:paraId="003FA060">
            <w:pPr>
              <w:snapToGrid w:val="0"/>
              <w:spacing w:after="0" w:line="288" w:lineRule="auto"/>
              <w:contextualSpacing/>
              <w:rPr>
                <w:sz w:val="18"/>
                <w:szCs w:val="21"/>
                <w:lang w:eastAsia="zh-CN"/>
              </w:rPr>
            </w:pPr>
            <w:r>
              <w:rPr>
                <w:sz w:val="18"/>
                <w:szCs w:val="21"/>
                <w:lang w:eastAsia="zh-CN"/>
              </w:rPr>
              <w:t>Dimension</w:t>
            </w:r>
          </w:p>
        </w:tc>
        <w:tc>
          <w:tcPr>
            <w:tcW w:w="1292" w:type="dxa"/>
            <w:tcBorders>
              <w:top w:val="single" w:color="auto" w:sz="8" w:space="0"/>
              <w:bottom w:val="single" w:color="auto" w:sz="4" w:space="0"/>
            </w:tcBorders>
            <w:vAlign w:val="center"/>
          </w:tcPr>
          <w:p w14:paraId="23F82711">
            <w:pPr>
              <w:snapToGrid w:val="0"/>
              <w:spacing w:after="0" w:line="288" w:lineRule="auto"/>
              <w:contextualSpacing/>
              <w:rPr>
                <w:sz w:val="18"/>
                <w:szCs w:val="21"/>
                <w:lang w:eastAsia="zh-CN"/>
              </w:rPr>
            </w:pPr>
            <w:r>
              <w:rPr>
                <w:sz w:val="18"/>
                <w:szCs w:val="21"/>
                <w:lang w:eastAsia="zh-CN"/>
              </w:rPr>
              <w:t>Setting</w:t>
            </w:r>
          </w:p>
        </w:tc>
        <w:tc>
          <w:tcPr>
            <w:tcW w:w="1244" w:type="dxa"/>
            <w:tcBorders>
              <w:top w:val="single" w:color="auto" w:sz="8" w:space="0"/>
              <w:bottom w:val="single" w:color="auto" w:sz="4" w:space="0"/>
            </w:tcBorders>
            <w:vAlign w:val="center"/>
          </w:tcPr>
          <w:p w14:paraId="01FF86C1">
            <w:pPr>
              <w:snapToGrid w:val="0"/>
              <w:spacing w:after="0" w:line="288" w:lineRule="auto"/>
              <w:contextualSpacing/>
              <w:rPr>
                <w:sz w:val="18"/>
                <w:szCs w:val="21"/>
                <w:lang w:eastAsia="zh-CN"/>
              </w:rPr>
            </w:pPr>
            <w:r>
              <w:rPr>
                <w:sz w:val="18"/>
                <w:szCs w:val="21"/>
                <w:lang w:eastAsia="zh-CN"/>
              </w:rPr>
              <w:t>Quality</w:t>
            </w:r>
          </w:p>
        </w:tc>
        <w:tc>
          <w:tcPr>
            <w:tcW w:w="1281" w:type="dxa"/>
            <w:tcBorders>
              <w:top w:val="single" w:color="auto" w:sz="8" w:space="0"/>
              <w:bottom w:val="single" w:color="auto" w:sz="4" w:space="0"/>
            </w:tcBorders>
            <w:vAlign w:val="center"/>
          </w:tcPr>
          <w:p w14:paraId="42E1583B">
            <w:pPr>
              <w:snapToGrid w:val="0"/>
              <w:spacing w:after="0" w:line="288" w:lineRule="auto"/>
              <w:contextualSpacing/>
              <w:rPr>
                <w:sz w:val="18"/>
                <w:szCs w:val="21"/>
                <w:lang w:eastAsia="zh-CN"/>
              </w:rPr>
            </w:pPr>
            <w:r>
              <w:rPr>
                <w:sz w:val="18"/>
                <w:szCs w:val="21"/>
                <w:lang w:eastAsia="zh-CN"/>
              </w:rPr>
              <w:t>ROUGE-L</w:t>
            </w:r>
          </w:p>
        </w:tc>
        <w:tc>
          <w:tcPr>
            <w:tcW w:w="1236" w:type="dxa"/>
            <w:tcBorders>
              <w:top w:val="single" w:color="auto" w:sz="8" w:space="0"/>
              <w:bottom w:val="single" w:color="auto" w:sz="4" w:space="0"/>
            </w:tcBorders>
            <w:vAlign w:val="center"/>
          </w:tcPr>
          <w:p w14:paraId="5A02992A">
            <w:pPr>
              <w:snapToGrid w:val="0"/>
              <w:spacing w:after="0" w:line="288" w:lineRule="auto"/>
              <w:contextualSpacing/>
              <w:rPr>
                <w:sz w:val="18"/>
                <w:szCs w:val="21"/>
                <w:lang w:eastAsia="zh-CN"/>
              </w:rPr>
            </w:pPr>
            <w:r>
              <w:rPr>
                <w:sz w:val="18"/>
                <w:szCs w:val="21"/>
                <w:lang w:eastAsia="zh-CN"/>
              </w:rPr>
              <w:t>BLEU-4</w:t>
            </w:r>
          </w:p>
        </w:tc>
        <w:tc>
          <w:tcPr>
            <w:tcW w:w="1088" w:type="dxa"/>
            <w:tcBorders>
              <w:top w:val="single" w:color="auto" w:sz="8" w:space="0"/>
              <w:bottom w:val="single" w:color="auto" w:sz="4" w:space="0"/>
            </w:tcBorders>
          </w:tcPr>
          <w:p w14:paraId="7D9BCFC5">
            <w:pPr>
              <w:snapToGrid w:val="0"/>
              <w:spacing w:after="0" w:line="288" w:lineRule="auto"/>
              <w:contextualSpacing/>
              <w:rPr>
                <w:sz w:val="18"/>
                <w:szCs w:val="21"/>
                <w:lang w:eastAsia="zh-CN"/>
              </w:rPr>
            </w:pPr>
            <w:r>
              <w:rPr>
                <w:sz w:val="18"/>
                <w:szCs w:val="21"/>
                <w:lang w:eastAsia="zh-CN"/>
              </w:rPr>
              <w:t>Distinct-2</w:t>
            </w:r>
          </w:p>
        </w:tc>
        <w:tc>
          <w:tcPr>
            <w:tcW w:w="1252" w:type="dxa"/>
            <w:tcBorders>
              <w:top w:val="single" w:color="auto" w:sz="8" w:space="0"/>
              <w:bottom w:val="single" w:color="auto" w:sz="4" w:space="0"/>
            </w:tcBorders>
            <w:vAlign w:val="center"/>
          </w:tcPr>
          <w:p w14:paraId="30BAC6E9">
            <w:pPr>
              <w:snapToGrid w:val="0"/>
              <w:spacing w:after="0" w:line="288" w:lineRule="auto"/>
              <w:contextualSpacing/>
              <w:rPr>
                <w:sz w:val="18"/>
                <w:szCs w:val="21"/>
                <w:lang w:eastAsia="zh-CN"/>
              </w:rPr>
            </w:pPr>
            <w:r>
              <w:rPr>
                <w:sz w:val="18"/>
                <w:szCs w:val="21"/>
                <w:lang w:eastAsia="zh-CN"/>
              </w:rPr>
              <w:t>Domain Rel.</w:t>
            </w:r>
          </w:p>
        </w:tc>
        <w:tc>
          <w:tcPr>
            <w:tcW w:w="1311" w:type="dxa"/>
            <w:tcBorders>
              <w:top w:val="single" w:color="auto" w:sz="8" w:space="0"/>
              <w:bottom w:val="single" w:color="auto" w:sz="4" w:space="0"/>
            </w:tcBorders>
            <w:vAlign w:val="center"/>
          </w:tcPr>
          <w:p w14:paraId="086DACA5">
            <w:pPr>
              <w:snapToGrid w:val="0"/>
              <w:spacing w:after="0" w:line="288" w:lineRule="auto"/>
              <w:contextualSpacing/>
              <w:rPr>
                <w:sz w:val="18"/>
                <w:szCs w:val="21"/>
                <w:lang w:eastAsia="zh-CN"/>
              </w:rPr>
            </w:pPr>
            <w:r>
              <w:rPr>
                <w:sz w:val="18"/>
                <w:szCs w:val="21"/>
                <w:lang w:eastAsia="zh-CN"/>
              </w:rPr>
              <w:t>FactCheck</w:t>
            </w:r>
          </w:p>
        </w:tc>
      </w:tr>
      <w:tr w14:paraId="687ED1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restart"/>
            <w:tcBorders>
              <w:top w:val="single" w:color="auto" w:sz="4" w:space="0"/>
              <w:bottom w:val="nil"/>
            </w:tcBorders>
            <w:vAlign w:val="center"/>
          </w:tcPr>
          <w:p w14:paraId="6DCAF8C2">
            <w:pPr>
              <w:snapToGrid w:val="0"/>
              <w:spacing w:after="0" w:line="288" w:lineRule="auto"/>
              <w:contextualSpacing/>
              <w:rPr>
                <w:rFonts w:eastAsia="宋体"/>
                <w:sz w:val="18"/>
                <w:szCs w:val="21"/>
                <w:lang w:eastAsia="zh-CN"/>
              </w:rPr>
            </w:pPr>
            <w:r>
              <w:rPr>
                <w:sz w:val="18"/>
                <w:szCs w:val="21"/>
                <w:lang w:eastAsia="zh-CN"/>
              </w:rPr>
              <w:t>Expert Count</w:t>
            </w:r>
          </w:p>
        </w:tc>
        <w:tc>
          <w:tcPr>
            <w:tcW w:w="1292" w:type="dxa"/>
            <w:tcBorders>
              <w:top w:val="single" w:color="auto" w:sz="4" w:space="0"/>
              <w:bottom w:val="nil"/>
            </w:tcBorders>
            <w:vAlign w:val="center"/>
          </w:tcPr>
          <w:p w14:paraId="1EB62849">
            <w:pPr>
              <w:snapToGrid w:val="0"/>
              <w:spacing w:after="0" w:line="288" w:lineRule="auto"/>
              <w:contextualSpacing/>
              <w:rPr>
                <w:sz w:val="18"/>
                <w:szCs w:val="18"/>
                <w:lang w:eastAsia="zh-CN"/>
              </w:rPr>
            </w:pPr>
            <m:oMath>
              <m:r>
                <m:rPr/>
                <w:rPr>
                  <w:rFonts w:ascii="Cambria Math" w:hAnsi="Cambria Math"/>
                  <w:sz w:val="18"/>
                  <w:szCs w:val="18"/>
                  <w:lang w:eastAsia="zh-CN"/>
                </w:rPr>
                <m:t>K</m:t>
              </m:r>
            </m:oMath>
            <w:r>
              <w:rPr>
                <w:sz w:val="18"/>
                <w:szCs w:val="18"/>
                <w:lang w:eastAsia="zh-CN"/>
              </w:rPr>
              <w:t xml:space="preserve"> = 1</w:t>
            </w:r>
          </w:p>
        </w:tc>
        <w:tc>
          <w:tcPr>
            <w:tcW w:w="1244" w:type="dxa"/>
            <w:tcBorders>
              <w:top w:val="single" w:color="auto" w:sz="4" w:space="0"/>
              <w:bottom w:val="nil"/>
            </w:tcBorders>
            <w:vAlign w:val="center"/>
          </w:tcPr>
          <w:p w14:paraId="4D342B18">
            <w:pPr>
              <w:snapToGrid w:val="0"/>
              <w:spacing w:after="0" w:line="288" w:lineRule="auto"/>
              <w:contextualSpacing/>
              <w:rPr>
                <w:sz w:val="18"/>
                <w:szCs w:val="21"/>
                <w:lang w:eastAsia="zh-CN"/>
              </w:rPr>
            </w:pPr>
            <w:r>
              <w:rPr>
                <w:rFonts w:eastAsia="等线" w:cs="Times New Roman"/>
                <w:color w:val="000000"/>
                <w:sz w:val="18"/>
                <w:szCs w:val="18"/>
              </w:rPr>
              <w:t xml:space="preserve">0.618 </w:t>
            </w:r>
          </w:p>
        </w:tc>
        <w:tc>
          <w:tcPr>
            <w:tcW w:w="1281" w:type="dxa"/>
            <w:tcBorders>
              <w:top w:val="single" w:color="auto" w:sz="4" w:space="0"/>
              <w:bottom w:val="nil"/>
            </w:tcBorders>
            <w:vAlign w:val="center"/>
          </w:tcPr>
          <w:p w14:paraId="656628DC">
            <w:pPr>
              <w:snapToGrid w:val="0"/>
              <w:spacing w:after="0" w:line="288" w:lineRule="auto"/>
              <w:contextualSpacing/>
              <w:rPr>
                <w:sz w:val="18"/>
                <w:szCs w:val="21"/>
                <w:lang w:eastAsia="zh-CN"/>
              </w:rPr>
            </w:pPr>
            <w:r>
              <w:rPr>
                <w:rFonts w:eastAsia="等线" w:cs="Times New Roman"/>
                <w:color w:val="000000"/>
                <w:sz w:val="18"/>
                <w:szCs w:val="18"/>
              </w:rPr>
              <w:t xml:space="preserve">0.130 </w:t>
            </w:r>
          </w:p>
        </w:tc>
        <w:tc>
          <w:tcPr>
            <w:tcW w:w="1236" w:type="dxa"/>
            <w:tcBorders>
              <w:top w:val="single" w:color="auto" w:sz="4" w:space="0"/>
              <w:bottom w:val="nil"/>
            </w:tcBorders>
            <w:vAlign w:val="center"/>
          </w:tcPr>
          <w:p w14:paraId="1B3A6467">
            <w:pPr>
              <w:snapToGrid w:val="0"/>
              <w:spacing w:after="0" w:line="288" w:lineRule="auto"/>
              <w:contextualSpacing/>
              <w:rPr>
                <w:sz w:val="18"/>
                <w:szCs w:val="21"/>
                <w:lang w:eastAsia="zh-CN"/>
              </w:rPr>
            </w:pPr>
            <w:r>
              <w:rPr>
                <w:rFonts w:eastAsia="等线" w:cs="Times New Roman"/>
                <w:color w:val="000000"/>
                <w:sz w:val="18"/>
                <w:szCs w:val="18"/>
              </w:rPr>
              <w:t xml:space="preserve">0.077 </w:t>
            </w:r>
          </w:p>
        </w:tc>
        <w:tc>
          <w:tcPr>
            <w:tcW w:w="1088" w:type="dxa"/>
            <w:tcBorders>
              <w:top w:val="single" w:color="auto" w:sz="4" w:space="0"/>
              <w:bottom w:val="nil"/>
            </w:tcBorders>
          </w:tcPr>
          <w:p w14:paraId="62F8DE80">
            <w:pPr>
              <w:snapToGrid w:val="0"/>
              <w:spacing w:after="0" w:line="288" w:lineRule="auto"/>
              <w:contextualSpacing/>
              <w:rPr>
                <w:rFonts w:eastAsia="等线" w:cs="Times New Roman"/>
                <w:color w:val="000000"/>
                <w:sz w:val="18"/>
                <w:szCs w:val="18"/>
                <w:lang w:eastAsia="zh-CN"/>
              </w:rPr>
            </w:pPr>
            <w:r>
              <w:rPr>
                <w:rFonts w:hint="eastAsia" w:eastAsia="等线" w:cs="Times New Roman"/>
                <w:color w:val="000000"/>
                <w:sz w:val="18"/>
                <w:szCs w:val="18"/>
                <w:lang w:eastAsia="zh-CN"/>
              </w:rPr>
              <w:t>0.062</w:t>
            </w:r>
          </w:p>
        </w:tc>
        <w:tc>
          <w:tcPr>
            <w:tcW w:w="1252" w:type="dxa"/>
            <w:tcBorders>
              <w:top w:val="single" w:color="auto" w:sz="4" w:space="0"/>
              <w:bottom w:val="nil"/>
            </w:tcBorders>
            <w:vAlign w:val="center"/>
          </w:tcPr>
          <w:p w14:paraId="2A2A8D26">
            <w:pPr>
              <w:snapToGrid w:val="0"/>
              <w:spacing w:after="0" w:line="288" w:lineRule="auto"/>
              <w:contextualSpacing/>
              <w:rPr>
                <w:sz w:val="18"/>
                <w:szCs w:val="21"/>
                <w:lang w:eastAsia="zh-CN"/>
              </w:rPr>
            </w:pPr>
            <w:r>
              <w:rPr>
                <w:rFonts w:eastAsia="等线" w:cs="Times New Roman"/>
                <w:color w:val="000000"/>
                <w:sz w:val="18"/>
                <w:szCs w:val="18"/>
              </w:rPr>
              <w:t xml:space="preserve">0.080 </w:t>
            </w:r>
          </w:p>
        </w:tc>
        <w:tc>
          <w:tcPr>
            <w:tcW w:w="1311" w:type="dxa"/>
            <w:tcBorders>
              <w:top w:val="single" w:color="auto" w:sz="4" w:space="0"/>
              <w:bottom w:val="nil"/>
            </w:tcBorders>
            <w:vAlign w:val="center"/>
          </w:tcPr>
          <w:p w14:paraId="3D75BA74">
            <w:pPr>
              <w:snapToGrid w:val="0"/>
              <w:spacing w:after="0" w:line="288" w:lineRule="auto"/>
              <w:contextualSpacing/>
              <w:rPr>
                <w:sz w:val="18"/>
                <w:szCs w:val="21"/>
                <w:lang w:eastAsia="zh-CN"/>
              </w:rPr>
            </w:pPr>
            <w:r>
              <w:rPr>
                <w:rFonts w:eastAsia="等线" w:cs="Times New Roman"/>
                <w:color w:val="000000"/>
                <w:sz w:val="18"/>
                <w:szCs w:val="18"/>
              </w:rPr>
              <w:t xml:space="preserve">0.949 </w:t>
            </w:r>
          </w:p>
        </w:tc>
      </w:tr>
      <w:tr w14:paraId="3C73B0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continue"/>
            <w:tcBorders>
              <w:top w:val="nil"/>
              <w:bottom w:val="nil"/>
            </w:tcBorders>
            <w:vAlign w:val="center"/>
          </w:tcPr>
          <w:p w14:paraId="642C824B">
            <w:pPr>
              <w:snapToGrid w:val="0"/>
              <w:spacing w:after="0" w:line="288" w:lineRule="auto"/>
              <w:contextualSpacing/>
              <w:rPr>
                <w:sz w:val="18"/>
                <w:szCs w:val="21"/>
                <w:lang w:eastAsia="zh-CN"/>
              </w:rPr>
            </w:pPr>
          </w:p>
        </w:tc>
        <w:tc>
          <w:tcPr>
            <w:tcW w:w="1292" w:type="dxa"/>
            <w:tcBorders>
              <w:top w:val="nil"/>
              <w:bottom w:val="nil"/>
            </w:tcBorders>
            <w:vAlign w:val="center"/>
          </w:tcPr>
          <w:p w14:paraId="1A8F5F40">
            <w:pPr>
              <w:snapToGrid w:val="0"/>
              <w:spacing w:after="0" w:line="288" w:lineRule="auto"/>
              <w:contextualSpacing/>
              <w:rPr>
                <w:sz w:val="18"/>
                <w:szCs w:val="18"/>
                <w:lang w:eastAsia="zh-CN"/>
              </w:rPr>
            </w:pPr>
            <m:oMath>
              <m:r>
                <m:rPr/>
                <w:rPr>
                  <w:rFonts w:ascii="Cambria Math" w:hAnsi="Cambria Math"/>
                  <w:sz w:val="18"/>
                  <w:szCs w:val="18"/>
                  <w:lang w:eastAsia="zh-CN"/>
                </w:rPr>
                <m:t>K</m:t>
              </m:r>
            </m:oMath>
            <w:r>
              <w:rPr>
                <w:sz w:val="18"/>
                <w:szCs w:val="18"/>
                <w:lang w:eastAsia="zh-CN"/>
              </w:rPr>
              <w:t xml:space="preserve"> = 2</w:t>
            </w:r>
          </w:p>
        </w:tc>
        <w:tc>
          <w:tcPr>
            <w:tcW w:w="1244" w:type="dxa"/>
            <w:tcBorders>
              <w:top w:val="nil"/>
              <w:bottom w:val="nil"/>
            </w:tcBorders>
            <w:vAlign w:val="center"/>
          </w:tcPr>
          <w:p w14:paraId="0945D23A">
            <w:pPr>
              <w:snapToGrid w:val="0"/>
              <w:spacing w:after="0" w:line="288" w:lineRule="auto"/>
              <w:contextualSpacing/>
              <w:rPr>
                <w:sz w:val="18"/>
                <w:szCs w:val="21"/>
                <w:lang w:eastAsia="zh-CN"/>
              </w:rPr>
            </w:pPr>
            <w:r>
              <w:rPr>
                <w:rFonts w:eastAsia="等线" w:cs="Times New Roman"/>
                <w:color w:val="000000"/>
                <w:sz w:val="18"/>
                <w:szCs w:val="18"/>
              </w:rPr>
              <w:t xml:space="preserve">0.641 </w:t>
            </w:r>
          </w:p>
        </w:tc>
        <w:tc>
          <w:tcPr>
            <w:tcW w:w="1281" w:type="dxa"/>
            <w:tcBorders>
              <w:top w:val="nil"/>
              <w:bottom w:val="nil"/>
            </w:tcBorders>
            <w:vAlign w:val="center"/>
          </w:tcPr>
          <w:p w14:paraId="569EA27B">
            <w:pPr>
              <w:snapToGrid w:val="0"/>
              <w:spacing w:after="0" w:line="288" w:lineRule="auto"/>
              <w:contextualSpacing/>
              <w:rPr>
                <w:b/>
                <w:bCs/>
                <w:sz w:val="18"/>
                <w:szCs w:val="21"/>
                <w:lang w:eastAsia="zh-CN"/>
              </w:rPr>
            </w:pPr>
            <w:r>
              <w:rPr>
                <w:rFonts w:eastAsia="等线" w:cs="Times New Roman"/>
                <w:b/>
                <w:bCs/>
                <w:color w:val="000000"/>
                <w:sz w:val="18"/>
                <w:szCs w:val="18"/>
              </w:rPr>
              <w:t xml:space="preserve">0.177 </w:t>
            </w:r>
          </w:p>
        </w:tc>
        <w:tc>
          <w:tcPr>
            <w:tcW w:w="1236" w:type="dxa"/>
            <w:tcBorders>
              <w:top w:val="nil"/>
              <w:bottom w:val="nil"/>
            </w:tcBorders>
            <w:vAlign w:val="center"/>
          </w:tcPr>
          <w:p w14:paraId="1ECC375B">
            <w:pPr>
              <w:snapToGrid w:val="0"/>
              <w:spacing w:after="0" w:line="288" w:lineRule="auto"/>
              <w:contextualSpacing/>
              <w:rPr>
                <w:sz w:val="18"/>
                <w:szCs w:val="21"/>
                <w:lang w:eastAsia="zh-CN"/>
              </w:rPr>
            </w:pPr>
            <w:r>
              <w:rPr>
                <w:rFonts w:eastAsia="等线" w:cs="Times New Roman"/>
                <w:color w:val="000000"/>
                <w:sz w:val="18"/>
                <w:szCs w:val="18"/>
              </w:rPr>
              <w:t xml:space="preserve">0.116 </w:t>
            </w:r>
          </w:p>
        </w:tc>
        <w:tc>
          <w:tcPr>
            <w:tcW w:w="1088" w:type="dxa"/>
            <w:tcBorders>
              <w:top w:val="nil"/>
              <w:bottom w:val="nil"/>
            </w:tcBorders>
          </w:tcPr>
          <w:p w14:paraId="4B66E3B3">
            <w:pPr>
              <w:snapToGrid w:val="0"/>
              <w:spacing w:after="0" w:line="288" w:lineRule="auto"/>
              <w:contextualSpacing/>
              <w:rPr>
                <w:rFonts w:eastAsia="等线" w:cs="Times New Roman"/>
                <w:b/>
                <w:bCs/>
                <w:color w:val="000000"/>
                <w:sz w:val="18"/>
                <w:szCs w:val="18"/>
                <w:lang w:eastAsia="zh-CN"/>
              </w:rPr>
            </w:pPr>
            <w:r>
              <w:rPr>
                <w:rFonts w:hint="eastAsia" w:eastAsia="等线" w:cs="Times New Roman"/>
                <w:b/>
                <w:bCs/>
                <w:color w:val="000000"/>
                <w:sz w:val="18"/>
                <w:szCs w:val="18"/>
                <w:lang w:eastAsia="zh-CN"/>
              </w:rPr>
              <w:t>0.074</w:t>
            </w:r>
          </w:p>
        </w:tc>
        <w:tc>
          <w:tcPr>
            <w:tcW w:w="1252" w:type="dxa"/>
            <w:tcBorders>
              <w:top w:val="nil"/>
              <w:bottom w:val="nil"/>
            </w:tcBorders>
            <w:vAlign w:val="center"/>
          </w:tcPr>
          <w:p w14:paraId="1B745C67">
            <w:pPr>
              <w:snapToGrid w:val="0"/>
              <w:spacing w:after="0" w:line="288" w:lineRule="auto"/>
              <w:contextualSpacing/>
              <w:rPr>
                <w:sz w:val="18"/>
                <w:szCs w:val="21"/>
                <w:lang w:eastAsia="zh-CN"/>
              </w:rPr>
            </w:pPr>
            <w:r>
              <w:rPr>
                <w:rFonts w:eastAsia="等线" w:cs="Times New Roman"/>
                <w:color w:val="000000"/>
                <w:sz w:val="18"/>
                <w:szCs w:val="18"/>
              </w:rPr>
              <w:t xml:space="preserve">0.092 </w:t>
            </w:r>
          </w:p>
        </w:tc>
        <w:tc>
          <w:tcPr>
            <w:tcW w:w="1311" w:type="dxa"/>
            <w:tcBorders>
              <w:top w:val="nil"/>
              <w:bottom w:val="nil"/>
            </w:tcBorders>
            <w:vAlign w:val="center"/>
          </w:tcPr>
          <w:p w14:paraId="5A0993B0">
            <w:pPr>
              <w:snapToGrid w:val="0"/>
              <w:spacing w:after="0" w:line="288" w:lineRule="auto"/>
              <w:contextualSpacing/>
              <w:rPr>
                <w:b/>
                <w:bCs/>
                <w:sz w:val="18"/>
                <w:szCs w:val="21"/>
                <w:lang w:eastAsia="zh-CN"/>
              </w:rPr>
            </w:pPr>
            <w:r>
              <w:rPr>
                <w:rFonts w:eastAsia="等线" w:cs="Times New Roman"/>
                <w:b/>
                <w:bCs/>
                <w:color w:val="000000"/>
                <w:sz w:val="18"/>
                <w:szCs w:val="18"/>
              </w:rPr>
              <w:t xml:space="preserve">0.958 </w:t>
            </w:r>
          </w:p>
        </w:tc>
      </w:tr>
      <w:tr w14:paraId="152B30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continue"/>
            <w:tcBorders>
              <w:top w:val="nil"/>
              <w:bottom w:val="nil"/>
            </w:tcBorders>
            <w:vAlign w:val="center"/>
          </w:tcPr>
          <w:p w14:paraId="3D4A48AD">
            <w:pPr>
              <w:snapToGrid w:val="0"/>
              <w:spacing w:after="0" w:line="288" w:lineRule="auto"/>
              <w:contextualSpacing/>
              <w:rPr>
                <w:sz w:val="18"/>
                <w:szCs w:val="21"/>
                <w:lang w:eastAsia="zh-CN"/>
              </w:rPr>
            </w:pPr>
          </w:p>
        </w:tc>
        <w:tc>
          <w:tcPr>
            <w:tcW w:w="1292" w:type="dxa"/>
            <w:tcBorders>
              <w:top w:val="nil"/>
              <w:bottom w:val="nil"/>
            </w:tcBorders>
            <w:vAlign w:val="center"/>
          </w:tcPr>
          <w:p w14:paraId="65D2FB0C">
            <w:pPr>
              <w:snapToGrid w:val="0"/>
              <w:spacing w:after="0" w:line="288" w:lineRule="auto"/>
              <w:contextualSpacing/>
              <w:rPr>
                <w:sz w:val="18"/>
                <w:szCs w:val="18"/>
                <w:lang w:eastAsia="zh-CN"/>
              </w:rPr>
            </w:pPr>
            <m:oMath>
              <m:r>
                <m:rPr/>
                <w:rPr>
                  <w:rFonts w:ascii="Cambria Math" w:hAnsi="Cambria Math"/>
                  <w:sz w:val="18"/>
                  <w:szCs w:val="18"/>
                  <w:lang w:eastAsia="zh-CN"/>
                </w:rPr>
                <m:t>K</m:t>
              </m:r>
            </m:oMath>
            <w:r>
              <w:rPr>
                <w:sz w:val="18"/>
                <w:szCs w:val="18"/>
                <w:lang w:eastAsia="zh-CN"/>
              </w:rPr>
              <w:t xml:space="preserve"> = 3</w:t>
            </w:r>
          </w:p>
        </w:tc>
        <w:tc>
          <w:tcPr>
            <w:tcW w:w="1244" w:type="dxa"/>
            <w:tcBorders>
              <w:top w:val="nil"/>
              <w:bottom w:val="nil"/>
            </w:tcBorders>
            <w:vAlign w:val="center"/>
          </w:tcPr>
          <w:p w14:paraId="69F5F245">
            <w:pPr>
              <w:snapToGrid w:val="0"/>
              <w:spacing w:after="0" w:line="288" w:lineRule="auto"/>
              <w:contextualSpacing/>
              <w:rPr>
                <w:sz w:val="18"/>
                <w:szCs w:val="21"/>
                <w:lang w:eastAsia="zh-CN"/>
              </w:rPr>
            </w:pPr>
            <w:r>
              <w:rPr>
                <w:rFonts w:eastAsia="等线" w:cs="Times New Roman"/>
                <w:color w:val="000000"/>
                <w:sz w:val="18"/>
                <w:szCs w:val="18"/>
              </w:rPr>
              <w:t xml:space="preserve">0.645 </w:t>
            </w:r>
          </w:p>
        </w:tc>
        <w:tc>
          <w:tcPr>
            <w:tcW w:w="1281" w:type="dxa"/>
            <w:tcBorders>
              <w:top w:val="nil"/>
              <w:bottom w:val="nil"/>
            </w:tcBorders>
            <w:vAlign w:val="center"/>
          </w:tcPr>
          <w:p w14:paraId="1B5C2506">
            <w:pPr>
              <w:snapToGrid w:val="0"/>
              <w:spacing w:after="0" w:line="288" w:lineRule="auto"/>
              <w:contextualSpacing/>
              <w:rPr>
                <w:sz w:val="18"/>
                <w:szCs w:val="21"/>
                <w:lang w:eastAsia="zh-CN"/>
              </w:rPr>
            </w:pPr>
            <w:r>
              <w:rPr>
                <w:rFonts w:eastAsia="等线" w:cs="Times New Roman"/>
                <w:color w:val="000000"/>
                <w:sz w:val="18"/>
                <w:szCs w:val="18"/>
              </w:rPr>
              <w:t xml:space="preserve">0.157 </w:t>
            </w:r>
          </w:p>
        </w:tc>
        <w:tc>
          <w:tcPr>
            <w:tcW w:w="1236" w:type="dxa"/>
            <w:tcBorders>
              <w:top w:val="nil"/>
              <w:bottom w:val="nil"/>
            </w:tcBorders>
            <w:vAlign w:val="center"/>
          </w:tcPr>
          <w:p w14:paraId="3905167F">
            <w:pPr>
              <w:snapToGrid w:val="0"/>
              <w:spacing w:after="0" w:line="288" w:lineRule="auto"/>
              <w:contextualSpacing/>
              <w:rPr>
                <w:b/>
                <w:bCs/>
                <w:sz w:val="18"/>
                <w:szCs w:val="21"/>
                <w:lang w:eastAsia="zh-CN"/>
              </w:rPr>
            </w:pPr>
            <w:r>
              <w:rPr>
                <w:rFonts w:eastAsia="等线" w:cs="Times New Roman"/>
                <w:b/>
                <w:bCs/>
                <w:color w:val="000000"/>
                <w:sz w:val="18"/>
                <w:szCs w:val="18"/>
              </w:rPr>
              <w:t xml:space="preserve">0.117 </w:t>
            </w:r>
          </w:p>
        </w:tc>
        <w:tc>
          <w:tcPr>
            <w:tcW w:w="1088" w:type="dxa"/>
            <w:tcBorders>
              <w:top w:val="nil"/>
              <w:bottom w:val="nil"/>
            </w:tcBorders>
          </w:tcPr>
          <w:p w14:paraId="60D28C0D">
            <w:pPr>
              <w:snapToGrid w:val="0"/>
              <w:spacing w:after="0" w:line="288" w:lineRule="auto"/>
              <w:contextualSpacing/>
              <w:rPr>
                <w:rFonts w:eastAsia="等线" w:cs="Times New Roman"/>
                <w:color w:val="000000"/>
                <w:sz w:val="18"/>
                <w:szCs w:val="18"/>
                <w:lang w:eastAsia="zh-CN"/>
              </w:rPr>
            </w:pPr>
            <w:r>
              <w:rPr>
                <w:rFonts w:hint="eastAsia" w:eastAsia="等线" w:cs="Times New Roman"/>
                <w:color w:val="000000"/>
                <w:sz w:val="18"/>
                <w:szCs w:val="18"/>
                <w:lang w:eastAsia="zh-CN"/>
              </w:rPr>
              <w:t>0.073</w:t>
            </w:r>
          </w:p>
        </w:tc>
        <w:tc>
          <w:tcPr>
            <w:tcW w:w="1252" w:type="dxa"/>
            <w:tcBorders>
              <w:top w:val="nil"/>
              <w:bottom w:val="nil"/>
            </w:tcBorders>
            <w:vAlign w:val="center"/>
          </w:tcPr>
          <w:p w14:paraId="133CCC46">
            <w:pPr>
              <w:snapToGrid w:val="0"/>
              <w:spacing w:after="0" w:line="288" w:lineRule="auto"/>
              <w:contextualSpacing/>
              <w:rPr>
                <w:sz w:val="18"/>
                <w:szCs w:val="21"/>
                <w:lang w:eastAsia="zh-CN"/>
              </w:rPr>
            </w:pPr>
            <w:r>
              <w:rPr>
                <w:rFonts w:eastAsia="等线" w:cs="Times New Roman"/>
                <w:color w:val="000000"/>
                <w:sz w:val="18"/>
                <w:szCs w:val="18"/>
              </w:rPr>
              <w:t xml:space="preserve">0.092 </w:t>
            </w:r>
          </w:p>
        </w:tc>
        <w:tc>
          <w:tcPr>
            <w:tcW w:w="1311" w:type="dxa"/>
            <w:tcBorders>
              <w:top w:val="nil"/>
              <w:bottom w:val="nil"/>
            </w:tcBorders>
            <w:vAlign w:val="center"/>
          </w:tcPr>
          <w:p w14:paraId="1E754D82">
            <w:pPr>
              <w:snapToGrid w:val="0"/>
              <w:spacing w:after="0" w:line="288" w:lineRule="auto"/>
              <w:contextualSpacing/>
              <w:rPr>
                <w:sz w:val="18"/>
                <w:szCs w:val="21"/>
                <w:lang w:eastAsia="zh-CN"/>
              </w:rPr>
            </w:pPr>
            <w:r>
              <w:rPr>
                <w:rFonts w:eastAsia="等线" w:cs="Times New Roman"/>
                <w:color w:val="000000"/>
                <w:sz w:val="18"/>
                <w:szCs w:val="18"/>
              </w:rPr>
              <w:t xml:space="preserve">0.948 </w:t>
            </w:r>
          </w:p>
        </w:tc>
      </w:tr>
      <w:tr w14:paraId="7C85DD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continue"/>
            <w:tcBorders>
              <w:top w:val="nil"/>
              <w:bottom w:val="single" w:color="auto" w:sz="4" w:space="0"/>
            </w:tcBorders>
            <w:vAlign w:val="center"/>
          </w:tcPr>
          <w:p w14:paraId="35008628">
            <w:pPr>
              <w:snapToGrid w:val="0"/>
              <w:spacing w:after="0" w:line="288" w:lineRule="auto"/>
              <w:contextualSpacing/>
              <w:rPr>
                <w:sz w:val="18"/>
                <w:szCs w:val="21"/>
                <w:lang w:eastAsia="zh-CN"/>
              </w:rPr>
            </w:pPr>
          </w:p>
        </w:tc>
        <w:tc>
          <w:tcPr>
            <w:tcW w:w="1292" w:type="dxa"/>
            <w:tcBorders>
              <w:top w:val="nil"/>
              <w:bottom w:val="single" w:color="auto" w:sz="4" w:space="0"/>
            </w:tcBorders>
            <w:vAlign w:val="center"/>
          </w:tcPr>
          <w:p w14:paraId="70277DC0">
            <w:pPr>
              <w:snapToGrid w:val="0"/>
              <w:spacing w:after="0" w:line="288" w:lineRule="auto"/>
              <w:contextualSpacing/>
              <w:rPr>
                <w:sz w:val="18"/>
                <w:szCs w:val="18"/>
                <w:lang w:eastAsia="zh-CN"/>
              </w:rPr>
            </w:pPr>
            <m:oMath>
              <m:r>
                <m:rPr/>
                <w:rPr>
                  <w:rFonts w:ascii="Cambria Math" w:hAnsi="Cambria Math"/>
                  <w:sz w:val="18"/>
                  <w:szCs w:val="18"/>
                  <w:lang w:eastAsia="zh-CN"/>
                </w:rPr>
                <m:t>K</m:t>
              </m:r>
            </m:oMath>
            <w:r>
              <w:rPr>
                <w:sz w:val="18"/>
                <w:szCs w:val="18"/>
                <w:lang w:eastAsia="zh-CN"/>
              </w:rPr>
              <w:t xml:space="preserve"> = 5</w:t>
            </w:r>
          </w:p>
        </w:tc>
        <w:tc>
          <w:tcPr>
            <w:tcW w:w="1244" w:type="dxa"/>
            <w:tcBorders>
              <w:top w:val="nil"/>
              <w:bottom w:val="single" w:color="auto" w:sz="4" w:space="0"/>
            </w:tcBorders>
            <w:vAlign w:val="center"/>
          </w:tcPr>
          <w:p w14:paraId="36102B0F">
            <w:pPr>
              <w:snapToGrid w:val="0"/>
              <w:spacing w:after="0" w:line="288" w:lineRule="auto"/>
              <w:contextualSpacing/>
              <w:rPr>
                <w:b/>
                <w:bCs/>
                <w:sz w:val="18"/>
                <w:szCs w:val="21"/>
                <w:lang w:eastAsia="zh-CN"/>
              </w:rPr>
            </w:pPr>
            <w:r>
              <w:rPr>
                <w:rFonts w:eastAsia="等线" w:cs="Times New Roman"/>
                <w:b/>
                <w:bCs/>
                <w:color w:val="000000"/>
                <w:sz w:val="18"/>
                <w:szCs w:val="18"/>
              </w:rPr>
              <w:t xml:space="preserve">0.646 </w:t>
            </w:r>
          </w:p>
        </w:tc>
        <w:tc>
          <w:tcPr>
            <w:tcW w:w="1281" w:type="dxa"/>
            <w:tcBorders>
              <w:top w:val="nil"/>
              <w:bottom w:val="single" w:color="auto" w:sz="4" w:space="0"/>
            </w:tcBorders>
            <w:vAlign w:val="center"/>
          </w:tcPr>
          <w:p w14:paraId="25509F1D">
            <w:pPr>
              <w:snapToGrid w:val="0"/>
              <w:spacing w:after="0" w:line="288" w:lineRule="auto"/>
              <w:contextualSpacing/>
              <w:rPr>
                <w:sz w:val="18"/>
                <w:szCs w:val="21"/>
                <w:lang w:eastAsia="zh-CN"/>
              </w:rPr>
            </w:pPr>
            <w:r>
              <w:rPr>
                <w:rFonts w:eastAsia="等线" w:cs="Times New Roman"/>
                <w:color w:val="000000"/>
                <w:sz w:val="18"/>
                <w:szCs w:val="18"/>
              </w:rPr>
              <w:t xml:space="preserve">0.171 </w:t>
            </w:r>
          </w:p>
        </w:tc>
        <w:tc>
          <w:tcPr>
            <w:tcW w:w="1236" w:type="dxa"/>
            <w:tcBorders>
              <w:top w:val="nil"/>
              <w:bottom w:val="single" w:color="auto" w:sz="4" w:space="0"/>
            </w:tcBorders>
            <w:vAlign w:val="center"/>
          </w:tcPr>
          <w:p w14:paraId="20F4EC03">
            <w:pPr>
              <w:snapToGrid w:val="0"/>
              <w:spacing w:after="0" w:line="288" w:lineRule="auto"/>
              <w:contextualSpacing/>
              <w:rPr>
                <w:sz w:val="18"/>
                <w:szCs w:val="21"/>
                <w:lang w:eastAsia="zh-CN"/>
              </w:rPr>
            </w:pPr>
            <w:r>
              <w:rPr>
                <w:rFonts w:eastAsia="等线" w:cs="Times New Roman"/>
                <w:color w:val="000000"/>
                <w:sz w:val="18"/>
                <w:szCs w:val="18"/>
              </w:rPr>
              <w:t xml:space="preserve">0.114 </w:t>
            </w:r>
          </w:p>
        </w:tc>
        <w:tc>
          <w:tcPr>
            <w:tcW w:w="1088" w:type="dxa"/>
            <w:tcBorders>
              <w:top w:val="nil"/>
              <w:bottom w:val="single" w:color="auto" w:sz="4" w:space="0"/>
            </w:tcBorders>
          </w:tcPr>
          <w:p w14:paraId="10F9FA00">
            <w:pPr>
              <w:snapToGrid w:val="0"/>
              <w:spacing w:after="0" w:line="288" w:lineRule="auto"/>
              <w:contextualSpacing/>
              <w:rPr>
                <w:rFonts w:eastAsia="等线" w:cs="Times New Roman"/>
                <w:color w:val="000000"/>
                <w:sz w:val="18"/>
                <w:szCs w:val="18"/>
                <w:lang w:eastAsia="zh-CN"/>
              </w:rPr>
            </w:pPr>
            <w:r>
              <w:rPr>
                <w:rFonts w:hint="eastAsia" w:eastAsia="等线" w:cs="Times New Roman"/>
                <w:color w:val="000000"/>
                <w:sz w:val="18"/>
                <w:szCs w:val="18"/>
                <w:lang w:eastAsia="zh-CN"/>
              </w:rPr>
              <w:t>0.068</w:t>
            </w:r>
          </w:p>
        </w:tc>
        <w:tc>
          <w:tcPr>
            <w:tcW w:w="1252" w:type="dxa"/>
            <w:tcBorders>
              <w:top w:val="nil"/>
              <w:bottom w:val="single" w:color="auto" w:sz="4" w:space="0"/>
            </w:tcBorders>
            <w:vAlign w:val="center"/>
          </w:tcPr>
          <w:p w14:paraId="6F0EE5B6">
            <w:pPr>
              <w:snapToGrid w:val="0"/>
              <w:spacing w:after="0" w:line="288" w:lineRule="auto"/>
              <w:contextualSpacing/>
              <w:rPr>
                <w:b/>
                <w:bCs/>
                <w:sz w:val="18"/>
                <w:szCs w:val="21"/>
                <w:lang w:eastAsia="zh-CN"/>
              </w:rPr>
            </w:pPr>
            <w:r>
              <w:rPr>
                <w:rFonts w:eastAsia="等线" w:cs="Times New Roman"/>
                <w:b/>
                <w:bCs/>
                <w:color w:val="000000"/>
                <w:sz w:val="18"/>
                <w:szCs w:val="18"/>
              </w:rPr>
              <w:t xml:space="preserve">0.096 </w:t>
            </w:r>
          </w:p>
        </w:tc>
        <w:tc>
          <w:tcPr>
            <w:tcW w:w="1311" w:type="dxa"/>
            <w:tcBorders>
              <w:top w:val="nil"/>
              <w:bottom w:val="single" w:color="auto" w:sz="4" w:space="0"/>
            </w:tcBorders>
            <w:vAlign w:val="center"/>
          </w:tcPr>
          <w:p w14:paraId="298F60EB">
            <w:pPr>
              <w:snapToGrid w:val="0"/>
              <w:spacing w:after="0" w:line="288" w:lineRule="auto"/>
              <w:contextualSpacing/>
              <w:rPr>
                <w:sz w:val="18"/>
                <w:szCs w:val="21"/>
                <w:lang w:eastAsia="zh-CN"/>
              </w:rPr>
            </w:pPr>
            <w:r>
              <w:rPr>
                <w:rFonts w:eastAsia="等线" w:cs="Times New Roman"/>
                <w:color w:val="000000"/>
                <w:sz w:val="18"/>
                <w:szCs w:val="18"/>
              </w:rPr>
              <w:t xml:space="preserve">0.950 </w:t>
            </w:r>
          </w:p>
        </w:tc>
      </w:tr>
      <w:tr w14:paraId="1C7BF5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restart"/>
            <w:tcBorders>
              <w:top w:val="single" w:color="auto" w:sz="4" w:space="0"/>
              <w:bottom w:val="nil"/>
            </w:tcBorders>
            <w:vAlign w:val="center"/>
          </w:tcPr>
          <w:p w14:paraId="368118F3">
            <w:pPr>
              <w:snapToGrid w:val="0"/>
              <w:spacing w:after="0" w:line="288" w:lineRule="auto"/>
              <w:contextualSpacing/>
              <w:rPr>
                <w:rFonts w:eastAsia="宋体"/>
                <w:sz w:val="18"/>
                <w:szCs w:val="21"/>
                <w:lang w:eastAsia="zh-CN"/>
              </w:rPr>
            </w:pPr>
            <w:r>
              <w:rPr>
                <w:sz w:val="18"/>
                <w:szCs w:val="21"/>
                <w:lang w:eastAsia="zh-CN"/>
              </w:rPr>
              <w:t>Collaboration</w:t>
            </w:r>
          </w:p>
        </w:tc>
        <w:tc>
          <w:tcPr>
            <w:tcW w:w="1292" w:type="dxa"/>
            <w:tcBorders>
              <w:top w:val="single" w:color="auto" w:sz="4" w:space="0"/>
              <w:bottom w:val="nil"/>
            </w:tcBorders>
            <w:vAlign w:val="center"/>
          </w:tcPr>
          <w:p w14:paraId="11A6F3BA">
            <w:pPr>
              <w:snapToGrid w:val="0"/>
              <w:spacing w:after="0" w:line="288" w:lineRule="auto"/>
              <w:contextualSpacing/>
              <w:rPr>
                <w:sz w:val="18"/>
                <w:szCs w:val="18"/>
                <w:lang w:eastAsia="zh-CN"/>
              </w:rPr>
            </w:pPr>
            <w:r>
              <w:rPr>
                <w:sz w:val="18"/>
                <w:szCs w:val="18"/>
                <w:lang w:eastAsia="zh-CN"/>
              </w:rPr>
              <w:t>None</w:t>
            </w:r>
          </w:p>
        </w:tc>
        <w:tc>
          <w:tcPr>
            <w:tcW w:w="1244" w:type="dxa"/>
            <w:tcBorders>
              <w:top w:val="single" w:color="auto" w:sz="4" w:space="0"/>
              <w:bottom w:val="nil"/>
            </w:tcBorders>
            <w:vAlign w:val="center"/>
          </w:tcPr>
          <w:p w14:paraId="4CE0EB0E">
            <w:pPr>
              <w:snapToGrid w:val="0"/>
              <w:spacing w:after="0" w:line="288" w:lineRule="auto"/>
              <w:contextualSpacing/>
              <w:rPr>
                <w:sz w:val="18"/>
                <w:szCs w:val="21"/>
                <w:lang w:eastAsia="zh-CN"/>
              </w:rPr>
            </w:pPr>
            <w:r>
              <w:rPr>
                <w:rFonts w:eastAsia="等线" w:cs="Times New Roman"/>
                <w:color w:val="000000"/>
                <w:sz w:val="18"/>
                <w:szCs w:val="18"/>
              </w:rPr>
              <w:t xml:space="preserve">0.618 </w:t>
            </w:r>
          </w:p>
        </w:tc>
        <w:tc>
          <w:tcPr>
            <w:tcW w:w="1281" w:type="dxa"/>
            <w:tcBorders>
              <w:top w:val="single" w:color="auto" w:sz="4" w:space="0"/>
              <w:bottom w:val="nil"/>
            </w:tcBorders>
            <w:vAlign w:val="center"/>
          </w:tcPr>
          <w:p w14:paraId="6BA652AC">
            <w:pPr>
              <w:snapToGrid w:val="0"/>
              <w:spacing w:after="0" w:line="288" w:lineRule="auto"/>
              <w:contextualSpacing/>
              <w:rPr>
                <w:sz w:val="18"/>
                <w:szCs w:val="21"/>
                <w:lang w:eastAsia="zh-CN"/>
              </w:rPr>
            </w:pPr>
            <w:r>
              <w:rPr>
                <w:rFonts w:eastAsia="等线" w:cs="Times New Roman"/>
                <w:color w:val="000000"/>
                <w:sz w:val="18"/>
                <w:szCs w:val="18"/>
              </w:rPr>
              <w:t xml:space="preserve">0.132 </w:t>
            </w:r>
          </w:p>
        </w:tc>
        <w:tc>
          <w:tcPr>
            <w:tcW w:w="1236" w:type="dxa"/>
            <w:tcBorders>
              <w:top w:val="single" w:color="auto" w:sz="4" w:space="0"/>
              <w:bottom w:val="nil"/>
            </w:tcBorders>
            <w:vAlign w:val="center"/>
          </w:tcPr>
          <w:p w14:paraId="66BE8179">
            <w:pPr>
              <w:snapToGrid w:val="0"/>
              <w:spacing w:after="0" w:line="288" w:lineRule="auto"/>
              <w:contextualSpacing/>
              <w:rPr>
                <w:sz w:val="18"/>
                <w:szCs w:val="21"/>
                <w:lang w:eastAsia="zh-CN"/>
              </w:rPr>
            </w:pPr>
            <w:r>
              <w:rPr>
                <w:rFonts w:eastAsia="等线" w:cs="Times New Roman"/>
                <w:color w:val="000000"/>
                <w:sz w:val="18"/>
                <w:szCs w:val="18"/>
              </w:rPr>
              <w:t xml:space="preserve">0.086 </w:t>
            </w:r>
          </w:p>
        </w:tc>
        <w:tc>
          <w:tcPr>
            <w:tcW w:w="1088" w:type="dxa"/>
            <w:tcBorders>
              <w:top w:val="single" w:color="auto" w:sz="4" w:space="0"/>
              <w:bottom w:val="nil"/>
            </w:tcBorders>
          </w:tcPr>
          <w:p>
            <w:r>
              <w:t>0.061</w:t>
            </w:r>
          </w:p>
        </w:tc>
        <w:tc>
          <w:tcPr>
            <w:tcW w:w="1252" w:type="dxa"/>
            <w:tcBorders>
              <w:top w:val="single" w:color="auto" w:sz="4" w:space="0"/>
              <w:bottom w:val="nil"/>
            </w:tcBorders>
            <w:vAlign w:val="center"/>
          </w:tcPr>
          <w:p w14:paraId="3579FBDD">
            <w:pPr>
              <w:snapToGrid w:val="0"/>
              <w:spacing w:after="0" w:line="288" w:lineRule="auto"/>
              <w:contextualSpacing/>
              <w:rPr>
                <w:sz w:val="18"/>
                <w:szCs w:val="21"/>
                <w:lang w:eastAsia="zh-CN"/>
              </w:rPr>
            </w:pPr>
            <w:r>
              <w:rPr>
                <w:rFonts w:eastAsia="等线" w:cs="Times New Roman"/>
                <w:color w:val="000000"/>
                <w:sz w:val="18"/>
                <w:szCs w:val="18"/>
              </w:rPr>
              <w:t xml:space="preserve">0.079 </w:t>
            </w:r>
          </w:p>
        </w:tc>
        <w:tc>
          <w:tcPr>
            <w:tcW w:w="1311" w:type="dxa"/>
            <w:tcBorders>
              <w:top w:val="single" w:color="auto" w:sz="4" w:space="0"/>
              <w:bottom w:val="nil"/>
            </w:tcBorders>
            <w:vAlign w:val="center"/>
          </w:tcPr>
          <w:p w14:paraId="23C01F42">
            <w:pPr>
              <w:snapToGrid w:val="0"/>
              <w:spacing w:after="0" w:line="288" w:lineRule="auto"/>
              <w:contextualSpacing/>
              <w:rPr>
                <w:sz w:val="18"/>
                <w:szCs w:val="21"/>
                <w:lang w:eastAsia="zh-CN"/>
              </w:rPr>
            </w:pPr>
            <w:r>
              <w:rPr>
                <w:rFonts w:eastAsia="等线" w:cs="Times New Roman"/>
                <w:color w:val="000000"/>
                <w:sz w:val="18"/>
                <w:szCs w:val="18"/>
              </w:rPr>
              <w:t xml:space="preserve">0.948 </w:t>
            </w:r>
          </w:p>
        </w:tc>
      </w:tr>
      <w:tr w14:paraId="2B6591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continue"/>
            <w:tcBorders>
              <w:top w:val="nil"/>
              <w:bottom w:val="nil"/>
            </w:tcBorders>
            <w:vAlign w:val="center"/>
          </w:tcPr>
          <w:p w14:paraId="5A94767A">
            <w:pPr>
              <w:snapToGrid w:val="0"/>
              <w:spacing w:after="0" w:line="288" w:lineRule="auto"/>
              <w:contextualSpacing/>
              <w:rPr>
                <w:sz w:val="18"/>
                <w:szCs w:val="21"/>
                <w:lang w:eastAsia="zh-CN"/>
              </w:rPr>
            </w:pPr>
          </w:p>
        </w:tc>
        <w:tc>
          <w:tcPr>
            <w:tcW w:w="1292" w:type="dxa"/>
            <w:tcBorders>
              <w:top w:val="nil"/>
              <w:bottom w:val="nil"/>
            </w:tcBorders>
            <w:vAlign w:val="center"/>
          </w:tcPr>
          <w:p w14:paraId="0C9219F0">
            <w:pPr>
              <w:snapToGrid w:val="0"/>
              <w:spacing w:after="0" w:line="288" w:lineRule="auto"/>
              <w:contextualSpacing/>
              <w:rPr>
                <w:sz w:val="18"/>
                <w:szCs w:val="18"/>
                <w:lang w:eastAsia="zh-CN"/>
              </w:rPr>
            </w:pPr>
            <w:r>
              <w:rPr>
                <w:sz w:val="18"/>
                <w:szCs w:val="18"/>
                <w:lang w:eastAsia="zh-CN"/>
              </w:rPr>
              <w:t>Sequential</w:t>
            </w:r>
          </w:p>
        </w:tc>
        <w:tc>
          <w:tcPr>
            <w:tcW w:w="1244" w:type="dxa"/>
            <w:tcBorders>
              <w:top w:val="nil"/>
              <w:bottom w:val="nil"/>
            </w:tcBorders>
            <w:vAlign w:val="center"/>
          </w:tcPr>
          <w:p w14:paraId="5BF9CA14">
            <w:pPr>
              <w:snapToGrid w:val="0"/>
              <w:spacing w:after="0" w:line="288" w:lineRule="auto"/>
              <w:contextualSpacing/>
              <w:rPr>
                <w:sz w:val="18"/>
                <w:szCs w:val="21"/>
                <w:lang w:eastAsia="zh-CN"/>
              </w:rPr>
            </w:pPr>
            <w:r>
              <w:rPr>
                <w:rFonts w:eastAsia="等线" w:cs="Times New Roman"/>
                <w:color w:val="000000"/>
                <w:sz w:val="18"/>
                <w:szCs w:val="18"/>
              </w:rPr>
              <w:t xml:space="preserve">0.640 </w:t>
            </w:r>
          </w:p>
        </w:tc>
        <w:tc>
          <w:tcPr>
            <w:tcW w:w="1281" w:type="dxa"/>
            <w:tcBorders>
              <w:top w:val="nil"/>
              <w:bottom w:val="nil"/>
            </w:tcBorders>
            <w:vAlign w:val="center"/>
          </w:tcPr>
          <w:p w14:paraId="18CA3C75">
            <w:pPr>
              <w:snapToGrid w:val="0"/>
              <w:spacing w:after="0" w:line="288" w:lineRule="auto"/>
              <w:contextualSpacing/>
              <w:rPr>
                <w:b/>
                <w:bCs/>
                <w:sz w:val="18"/>
                <w:szCs w:val="21"/>
                <w:lang w:eastAsia="zh-CN"/>
              </w:rPr>
            </w:pPr>
            <w:r>
              <w:rPr>
                <w:rFonts w:eastAsia="等线" w:cs="Times New Roman"/>
                <w:b/>
                <w:bCs/>
                <w:color w:val="000000"/>
                <w:sz w:val="18"/>
                <w:szCs w:val="18"/>
              </w:rPr>
              <w:t xml:space="preserve">0.162 </w:t>
            </w:r>
          </w:p>
        </w:tc>
        <w:tc>
          <w:tcPr>
            <w:tcW w:w="1236" w:type="dxa"/>
            <w:tcBorders>
              <w:top w:val="nil"/>
              <w:bottom w:val="nil"/>
            </w:tcBorders>
            <w:vAlign w:val="center"/>
          </w:tcPr>
          <w:p w14:paraId="217E0A28">
            <w:pPr>
              <w:snapToGrid w:val="0"/>
              <w:spacing w:after="0" w:line="288" w:lineRule="auto"/>
              <w:contextualSpacing/>
              <w:rPr>
                <w:b/>
                <w:bCs/>
                <w:sz w:val="18"/>
                <w:szCs w:val="21"/>
                <w:lang w:eastAsia="zh-CN"/>
              </w:rPr>
            </w:pPr>
            <w:r>
              <w:rPr>
                <w:rFonts w:eastAsia="等线" w:cs="Times New Roman"/>
                <w:b/>
                <w:bCs/>
                <w:color w:val="000000"/>
                <w:sz w:val="18"/>
                <w:szCs w:val="18"/>
              </w:rPr>
              <w:t xml:space="preserve">0.116 </w:t>
            </w:r>
          </w:p>
        </w:tc>
        <w:tc>
          <w:tcPr>
            <w:tcW w:w="1088" w:type="dxa"/>
            <w:tcBorders>
              <w:top w:val="nil"/>
              <w:bottom w:val="nil"/>
            </w:tcBorders>
          </w:tcPr>
          <w:p w14:paraId="550DD2B5">
            <w:pPr>
              <w:snapToGrid w:val="0"/>
              <w:spacing w:after="0" w:line="288" w:lineRule="auto"/>
              <w:contextualSpacing/>
              <w:rPr>
                <w:rFonts w:eastAsia="等线" w:cs="Times New Roman"/>
                <w:b/>
                <w:bCs/>
                <w:color w:val="000000"/>
                <w:sz w:val="18"/>
                <w:szCs w:val="18"/>
                <w:lang w:eastAsia="zh-CN"/>
              </w:rPr>
            </w:pPr>
            <w:r>
              <w:rPr>
                <w:rFonts w:hint="eastAsia" w:eastAsia="等线" w:cs="Times New Roman"/>
                <w:b/>
                <w:bCs/>
                <w:color w:val="000000"/>
                <w:sz w:val="18"/>
                <w:szCs w:val="18"/>
                <w:lang w:eastAsia="zh-CN"/>
              </w:rPr>
              <w:t>0.075</w:t>
            </w:r>
          </w:p>
        </w:tc>
        <w:tc>
          <w:tcPr>
            <w:tcW w:w="1252" w:type="dxa"/>
            <w:tcBorders>
              <w:top w:val="nil"/>
              <w:bottom w:val="nil"/>
            </w:tcBorders>
            <w:vAlign w:val="center"/>
          </w:tcPr>
          <w:p>
            <w:r>
              <w:t>0.091</w:t>
            </w:r>
          </w:p>
        </w:tc>
        <w:tc>
          <w:tcPr>
            <w:tcW w:w="1311" w:type="dxa"/>
            <w:tcBorders>
              <w:top w:val="nil"/>
              <w:bottom w:val="nil"/>
            </w:tcBorders>
            <w:vAlign w:val="center"/>
          </w:tcPr>
          <w:p w14:paraId="06EC1EC8">
            <w:pPr>
              <w:snapToGrid w:val="0"/>
              <w:spacing w:after="0" w:line="288" w:lineRule="auto"/>
              <w:contextualSpacing/>
              <w:rPr>
                <w:b/>
                <w:bCs/>
                <w:sz w:val="18"/>
                <w:szCs w:val="21"/>
                <w:lang w:eastAsia="zh-CN"/>
              </w:rPr>
            </w:pPr>
            <w:r>
              <w:rPr>
                <w:rFonts w:eastAsia="等线" w:cs="Times New Roman"/>
                <w:b/>
                <w:bCs/>
                <w:color w:val="000000"/>
                <w:sz w:val="18"/>
                <w:szCs w:val="18"/>
              </w:rPr>
              <w:t xml:space="preserve">0.950 </w:t>
            </w:r>
          </w:p>
        </w:tc>
      </w:tr>
      <w:tr w14:paraId="5D8970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continue"/>
            <w:tcBorders>
              <w:top w:val="nil"/>
              <w:bottom w:val="single" w:color="auto" w:sz="4" w:space="0"/>
            </w:tcBorders>
            <w:vAlign w:val="center"/>
          </w:tcPr>
          <w:p w14:paraId="728CF50E">
            <w:pPr>
              <w:snapToGrid w:val="0"/>
              <w:spacing w:after="0" w:line="288" w:lineRule="auto"/>
              <w:contextualSpacing/>
              <w:rPr>
                <w:sz w:val="18"/>
                <w:szCs w:val="21"/>
                <w:lang w:eastAsia="zh-CN"/>
              </w:rPr>
            </w:pPr>
          </w:p>
        </w:tc>
        <w:tc>
          <w:tcPr>
            <w:tcW w:w="1292" w:type="dxa"/>
            <w:tcBorders>
              <w:top w:val="nil"/>
              <w:bottom w:val="single" w:color="auto" w:sz="4" w:space="0"/>
            </w:tcBorders>
            <w:vAlign w:val="center"/>
          </w:tcPr>
          <w:p w14:paraId="24A21472">
            <w:pPr>
              <w:snapToGrid w:val="0"/>
              <w:spacing w:after="0" w:line="288" w:lineRule="auto"/>
              <w:contextualSpacing/>
              <w:rPr>
                <w:sz w:val="18"/>
                <w:szCs w:val="18"/>
                <w:lang w:eastAsia="zh-CN"/>
              </w:rPr>
            </w:pPr>
            <w:r>
              <w:rPr>
                <w:sz w:val="18"/>
                <w:szCs w:val="18"/>
                <w:lang w:eastAsia="zh-CN"/>
              </w:rPr>
              <w:t>Parallel</w:t>
            </w:r>
          </w:p>
        </w:tc>
        <w:tc>
          <w:tcPr>
            <w:tcW w:w="1244" w:type="dxa"/>
            <w:tcBorders>
              <w:top w:val="nil"/>
              <w:bottom w:val="single" w:color="auto" w:sz="4" w:space="0"/>
            </w:tcBorders>
            <w:vAlign w:val="center"/>
          </w:tcPr>
          <w:p w14:paraId="78F724B7">
            <w:pPr>
              <w:snapToGrid w:val="0"/>
              <w:spacing w:after="0" w:line="288" w:lineRule="auto"/>
              <w:contextualSpacing/>
              <w:rPr>
                <w:b/>
                <w:bCs/>
                <w:sz w:val="18"/>
                <w:szCs w:val="21"/>
                <w:lang w:eastAsia="zh-CN"/>
              </w:rPr>
            </w:pPr>
            <w:r>
              <w:rPr>
                <w:rFonts w:eastAsia="等线" w:cs="Times New Roman"/>
                <w:b/>
                <w:bCs/>
                <w:color w:val="000000"/>
                <w:sz w:val="18"/>
                <w:szCs w:val="18"/>
              </w:rPr>
              <w:t xml:space="preserve">0.647 </w:t>
            </w:r>
          </w:p>
        </w:tc>
        <w:tc>
          <w:tcPr>
            <w:tcW w:w="1281" w:type="dxa"/>
            <w:tcBorders>
              <w:top w:val="nil"/>
              <w:bottom w:val="single" w:color="auto" w:sz="4" w:space="0"/>
            </w:tcBorders>
            <w:vAlign w:val="center"/>
          </w:tcPr>
          <w:p w14:paraId="3C486F60">
            <w:pPr>
              <w:snapToGrid w:val="0"/>
              <w:spacing w:after="0" w:line="288" w:lineRule="auto"/>
              <w:contextualSpacing/>
              <w:rPr>
                <w:sz w:val="18"/>
                <w:szCs w:val="21"/>
                <w:lang w:eastAsia="zh-CN"/>
              </w:rPr>
            </w:pPr>
            <w:r>
              <w:rPr>
                <w:rFonts w:eastAsia="等线" w:cs="Times New Roman"/>
                <w:color w:val="000000"/>
                <w:sz w:val="18"/>
                <w:szCs w:val="18"/>
              </w:rPr>
              <w:t xml:space="preserve">0.159 </w:t>
            </w:r>
          </w:p>
        </w:tc>
        <w:tc>
          <w:tcPr>
            <w:tcW w:w="1236" w:type="dxa"/>
            <w:tcBorders>
              <w:top w:val="nil"/>
              <w:bottom w:val="single" w:color="auto" w:sz="4" w:space="0"/>
            </w:tcBorders>
            <w:vAlign w:val="center"/>
          </w:tcPr>
          <w:p w14:paraId="41E5891F">
            <w:pPr>
              <w:snapToGrid w:val="0"/>
              <w:spacing w:after="0" w:line="288" w:lineRule="auto"/>
              <w:contextualSpacing/>
              <w:rPr>
                <w:sz w:val="18"/>
                <w:szCs w:val="21"/>
                <w:lang w:eastAsia="zh-CN"/>
              </w:rPr>
            </w:pPr>
            <w:r>
              <w:rPr>
                <w:rFonts w:eastAsia="等线" w:cs="Times New Roman"/>
                <w:color w:val="000000"/>
                <w:sz w:val="18"/>
                <w:szCs w:val="18"/>
              </w:rPr>
              <w:t xml:space="preserve">0.115 </w:t>
            </w:r>
          </w:p>
        </w:tc>
        <w:tc>
          <w:tcPr>
            <w:tcW w:w="1088" w:type="dxa"/>
            <w:tcBorders>
              <w:top w:val="nil"/>
              <w:bottom w:val="single" w:color="auto" w:sz="4" w:space="0"/>
            </w:tcBorders>
          </w:tcPr>
          <w:p w14:paraId="106EFC4F">
            <w:pPr>
              <w:snapToGrid w:val="0"/>
              <w:spacing w:after="0" w:line="288" w:lineRule="auto"/>
              <w:contextualSpacing/>
              <w:rPr>
                <w:rFonts w:eastAsia="等线" w:cs="Times New Roman"/>
                <w:color w:val="000000"/>
                <w:sz w:val="18"/>
                <w:szCs w:val="18"/>
                <w:lang w:eastAsia="zh-CN"/>
              </w:rPr>
            </w:pPr>
            <w:r>
              <w:rPr>
                <w:rFonts w:hint="eastAsia" w:eastAsia="等线" w:cs="Times New Roman"/>
                <w:color w:val="000000"/>
                <w:sz w:val="18"/>
                <w:szCs w:val="18"/>
                <w:lang w:eastAsia="zh-CN"/>
              </w:rPr>
              <w:t>0.070</w:t>
            </w:r>
          </w:p>
        </w:tc>
        <w:tc>
          <w:tcPr>
            <w:tcW w:w="1252" w:type="dxa"/>
            <w:tcBorders>
              <w:top w:val="nil"/>
              <w:bottom w:val="single" w:color="auto" w:sz="4" w:space="0"/>
            </w:tcBorders>
            <w:vAlign w:val="center"/>
          </w:tcPr>
          <w:p w14:paraId="1DCA3C89">
            <w:pPr>
              <w:snapToGrid w:val="0"/>
              <w:spacing w:after="0" w:line="288" w:lineRule="auto"/>
              <w:contextualSpacing/>
              <w:rPr>
                <w:b/>
                <w:bCs/>
                <w:sz w:val="18"/>
                <w:szCs w:val="21"/>
                <w:lang w:eastAsia="zh-CN"/>
              </w:rPr>
            </w:pPr>
            <w:r>
              <w:rPr>
                <w:rFonts w:eastAsia="等线" w:cs="Times New Roman"/>
                <w:b/>
                <w:bCs/>
                <w:color w:val="000000"/>
                <w:sz w:val="18"/>
                <w:szCs w:val="18"/>
              </w:rPr>
              <w:t xml:space="preserve">0.091 </w:t>
            </w:r>
          </w:p>
        </w:tc>
        <w:tc>
          <w:tcPr>
            <w:tcW w:w="1311" w:type="dxa"/>
            <w:tcBorders>
              <w:top w:val="nil"/>
              <w:bottom w:val="single" w:color="auto" w:sz="4" w:space="0"/>
            </w:tcBorders>
            <w:vAlign w:val="center"/>
          </w:tcPr>
          <w:p w14:paraId="7281182D">
            <w:pPr>
              <w:snapToGrid w:val="0"/>
              <w:spacing w:after="0" w:line="288" w:lineRule="auto"/>
              <w:contextualSpacing/>
              <w:rPr>
                <w:sz w:val="18"/>
                <w:szCs w:val="21"/>
                <w:lang w:eastAsia="zh-CN"/>
              </w:rPr>
            </w:pPr>
            <w:r>
              <w:rPr>
                <w:rFonts w:eastAsia="等线" w:cs="Times New Roman"/>
                <w:color w:val="000000"/>
                <w:sz w:val="18"/>
                <w:szCs w:val="18"/>
              </w:rPr>
              <w:t xml:space="preserve">0.937 </w:t>
            </w:r>
          </w:p>
        </w:tc>
      </w:tr>
      <w:tr w14:paraId="207EB9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restart"/>
            <w:tcBorders>
              <w:top w:val="single" w:color="auto" w:sz="4" w:space="0"/>
              <w:bottom w:val="nil"/>
            </w:tcBorders>
            <w:vAlign w:val="center"/>
          </w:tcPr>
          <w:p w14:paraId="7CA73BA0">
            <w:pPr>
              <w:snapToGrid w:val="0"/>
              <w:spacing w:after="0" w:line="288" w:lineRule="auto"/>
              <w:contextualSpacing/>
              <w:rPr>
                <w:rFonts w:eastAsia="宋体"/>
                <w:sz w:val="18"/>
                <w:szCs w:val="21"/>
                <w:lang w:eastAsia="zh-CN"/>
              </w:rPr>
            </w:pPr>
            <w:r>
              <w:rPr>
                <w:sz w:val="18"/>
                <w:szCs w:val="21"/>
                <w:lang w:eastAsia="zh-CN"/>
              </w:rPr>
              <w:t>Feedback Rounds</w:t>
            </w:r>
          </w:p>
        </w:tc>
        <w:tc>
          <w:tcPr>
            <w:tcW w:w="1292" w:type="dxa"/>
            <w:tcBorders>
              <w:top w:val="single" w:color="auto" w:sz="4" w:space="0"/>
              <w:bottom w:val="nil"/>
            </w:tcBorders>
            <w:vAlign w:val="center"/>
          </w:tcPr>
          <w:p w14:paraId="36A765A8">
            <w:pPr>
              <w:snapToGrid w:val="0"/>
              <w:spacing w:after="0" w:line="288" w:lineRule="auto"/>
              <w:contextualSpacing/>
              <w:rPr>
                <w:sz w:val="18"/>
                <w:szCs w:val="18"/>
                <w:lang w:eastAsia="zh-CN"/>
              </w:rPr>
            </w:pPr>
            <m:oMath>
              <m:r>
                <m:rPr/>
                <w:rPr>
                  <w:rFonts w:ascii="Cambria Math" w:hAnsi="Cambria Math"/>
                  <w:sz w:val="18"/>
                  <w:szCs w:val="18"/>
                </w:rPr>
                <m:t>R</m:t>
              </m:r>
            </m:oMath>
            <w:r>
              <w:rPr>
                <w:rFonts w:hint="eastAsia" w:eastAsia="宋体"/>
                <w:sz w:val="18"/>
                <w:szCs w:val="18"/>
                <w:lang w:eastAsia="zh-CN"/>
              </w:rPr>
              <w:t>= 0</w:t>
            </w:r>
          </w:p>
        </w:tc>
        <w:tc>
          <w:tcPr>
            <w:tcW w:w="1244" w:type="dxa"/>
            <w:tcBorders>
              <w:top w:val="single" w:color="auto" w:sz="4" w:space="0"/>
              <w:bottom w:val="nil"/>
            </w:tcBorders>
            <w:vAlign w:val="center"/>
          </w:tcPr>
          <w:p w14:paraId="4EF3B3AC">
            <w:pPr>
              <w:snapToGrid w:val="0"/>
              <w:spacing w:after="0" w:line="288" w:lineRule="auto"/>
              <w:contextualSpacing/>
              <w:rPr>
                <w:sz w:val="18"/>
                <w:szCs w:val="21"/>
                <w:lang w:eastAsia="zh-CN"/>
              </w:rPr>
            </w:pPr>
            <w:r>
              <w:rPr>
                <w:rFonts w:eastAsia="等线" w:cs="Times New Roman"/>
                <w:color w:val="000000"/>
                <w:sz w:val="18"/>
                <w:szCs w:val="18"/>
              </w:rPr>
              <w:t xml:space="preserve">0.626 </w:t>
            </w:r>
          </w:p>
        </w:tc>
        <w:tc>
          <w:tcPr>
            <w:tcW w:w="1281" w:type="dxa"/>
            <w:tcBorders>
              <w:top w:val="single" w:color="auto" w:sz="4" w:space="0"/>
              <w:bottom w:val="nil"/>
            </w:tcBorders>
            <w:vAlign w:val="center"/>
          </w:tcPr>
          <w:p w14:paraId="7640BEEC">
            <w:pPr>
              <w:snapToGrid w:val="0"/>
              <w:spacing w:after="0" w:line="288" w:lineRule="auto"/>
              <w:contextualSpacing/>
              <w:rPr>
                <w:sz w:val="18"/>
                <w:szCs w:val="21"/>
                <w:lang w:eastAsia="zh-CN"/>
              </w:rPr>
            </w:pPr>
            <w:r>
              <w:rPr>
                <w:rFonts w:eastAsia="等线" w:cs="Times New Roman"/>
                <w:color w:val="000000"/>
                <w:sz w:val="18"/>
                <w:szCs w:val="18"/>
              </w:rPr>
              <w:t xml:space="preserve">0.143 </w:t>
            </w:r>
          </w:p>
        </w:tc>
        <w:tc>
          <w:tcPr>
            <w:tcW w:w="1236" w:type="dxa"/>
            <w:tcBorders>
              <w:top w:val="single" w:color="auto" w:sz="4" w:space="0"/>
              <w:bottom w:val="nil"/>
            </w:tcBorders>
            <w:vAlign w:val="center"/>
          </w:tcPr>
          <w:p w14:paraId="2CE96417">
            <w:pPr>
              <w:snapToGrid w:val="0"/>
              <w:spacing w:after="0" w:line="288" w:lineRule="auto"/>
              <w:contextualSpacing/>
              <w:rPr>
                <w:sz w:val="18"/>
                <w:szCs w:val="21"/>
                <w:lang w:eastAsia="zh-CN"/>
              </w:rPr>
            </w:pPr>
            <w:r>
              <w:rPr>
                <w:rFonts w:eastAsia="等线" w:cs="Times New Roman"/>
                <w:color w:val="000000"/>
                <w:sz w:val="18"/>
                <w:szCs w:val="18"/>
              </w:rPr>
              <w:t xml:space="preserve">0.091 </w:t>
            </w:r>
          </w:p>
        </w:tc>
        <w:tc>
          <w:tcPr>
            <w:tcW w:w="1088" w:type="dxa"/>
            <w:tcBorders>
              <w:top w:val="single" w:color="auto" w:sz="4" w:space="0"/>
              <w:bottom w:val="nil"/>
            </w:tcBorders>
          </w:tcPr>
          <w:p w14:paraId="74643A1A">
            <w:pPr>
              <w:snapToGrid w:val="0"/>
              <w:spacing w:after="0" w:line="288" w:lineRule="auto"/>
              <w:contextualSpacing/>
              <w:rPr>
                <w:rFonts w:eastAsia="等线" w:cs="Times New Roman"/>
                <w:color w:val="000000"/>
                <w:sz w:val="18"/>
                <w:szCs w:val="18"/>
                <w:lang w:eastAsia="zh-CN"/>
              </w:rPr>
            </w:pPr>
            <w:r>
              <w:rPr>
                <w:rFonts w:hint="eastAsia" w:eastAsia="等线" w:cs="Times New Roman"/>
                <w:color w:val="000000"/>
                <w:sz w:val="18"/>
                <w:szCs w:val="18"/>
                <w:lang w:eastAsia="zh-CN"/>
              </w:rPr>
              <w:t>0.064</w:t>
            </w:r>
          </w:p>
        </w:tc>
        <w:tc>
          <w:tcPr>
            <w:tcW w:w="1252" w:type="dxa"/>
            <w:tcBorders>
              <w:top w:val="single" w:color="auto" w:sz="4" w:space="0"/>
              <w:bottom w:val="nil"/>
            </w:tcBorders>
            <w:vAlign w:val="center"/>
          </w:tcPr>
          <w:p w14:paraId="10B17FAE">
            <w:pPr>
              <w:snapToGrid w:val="0"/>
              <w:spacing w:after="0" w:line="288" w:lineRule="auto"/>
              <w:contextualSpacing/>
              <w:rPr>
                <w:sz w:val="18"/>
                <w:szCs w:val="21"/>
                <w:lang w:eastAsia="zh-CN"/>
              </w:rPr>
            </w:pPr>
            <w:r>
              <w:rPr>
                <w:rFonts w:eastAsia="等线" w:cs="Times New Roman"/>
                <w:color w:val="000000"/>
                <w:sz w:val="18"/>
                <w:szCs w:val="18"/>
              </w:rPr>
              <w:t xml:space="preserve">0.076 </w:t>
            </w:r>
          </w:p>
        </w:tc>
        <w:tc>
          <w:tcPr>
            <w:tcW w:w="1311" w:type="dxa"/>
            <w:tcBorders>
              <w:top w:val="single" w:color="auto" w:sz="4" w:space="0"/>
              <w:bottom w:val="nil"/>
            </w:tcBorders>
            <w:vAlign w:val="center"/>
          </w:tcPr>
          <w:p w14:paraId="047BE7F8">
            <w:pPr>
              <w:snapToGrid w:val="0"/>
              <w:spacing w:after="0" w:line="288" w:lineRule="auto"/>
              <w:contextualSpacing/>
              <w:rPr>
                <w:b/>
                <w:bCs/>
                <w:sz w:val="18"/>
                <w:szCs w:val="21"/>
                <w:lang w:eastAsia="zh-CN"/>
              </w:rPr>
            </w:pPr>
            <w:r>
              <w:rPr>
                <w:rFonts w:eastAsia="等线" w:cs="Times New Roman"/>
                <w:b/>
                <w:bCs/>
                <w:color w:val="000000"/>
                <w:sz w:val="18"/>
                <w:szCs w:val="18"/>
              </w:rPr>
              <w:t xml:space="preserve">0.959 </w:t>
            </w:r>
          </w:p>
        </w:tc>
      </w:tr>
      <w:tr w14:paraId="373090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continue"/>
            <w:tcBorders>
              <w:top w:val="nil"/>
              <w:bottom w:val="nil"/>
            </w:tcBorders>
            <w:vAlign w:val="center"/>
          </w:tcPr>
          <w:p w14:paraId="38A27494">
            <w:pPr>
              <w:snapToGrid w:val="0"/>
              <w:spacing w:after="0" w:line="288" w:lineRule="auto"/>
              <w:contextualSpacing/>
              <w:rPr>
                <w:sz w:val="18"/>
                <w:szCs w:val="21"/>
                <w:lang w:eastAsia="zh-CN"/>
              </w:rPr>
            </w:pPr>
          </w:p>
        </w:tc>
        <w:tc>
          <w:tcPr>
            <w:tcW w:w="1292" w:type="dxa"/>
            <w:tcBorders>
              <w:top w:val="nil"/>
              <w:bottom w:val="nil"/>
            </w:tcBorders>
            <w:vAlign w:val="center"/>
          </w:tcPr>
          <w:p w14:paraId="4B5F1760">
            <w:pPr>
              <w:snapToGrid w:val="0"/>
              <w:spacing w:after="0" w:line="288" w:lineRule="auto"/>
              <w:contextualSpacing/>
              <w:rPr>
                <w:sz w:val="18"/>
                <w:szCs w:val="18"/>
                <w:lang w:eastAsia="zh-CN"/>
              </w:rPr>
            </w:pPr>
            <m:oMath>
              <m:r>
                <m:rPr/>
                <w:rPr>
                  <w:rFonts w:ascii="Cambria Math" w:hAnsi="Cambria Math"/>
                  <w:sz w:val="18"/>
                  <w:szCs w:val="18"/>
                </w:rPr>
                <m:t>R</m:t>
              </m:r>
            </m:oMath>
            <w:r>
              <w:rPr>
                <w:sz w:val="18"/>
                <w:szCs w:val="18"/>
                <w:lang w:eastAsia="zh-CN"/>
              </w:rPr>
              <w:t xml:space="preserve"> = 1</w:t>
            </w:r>
          </w:p>
        </w:tc>
        <w:tc>
          <w:tcPr>
            <w:tcW w:w="1244" w:type="dxa"/>
            <w:tcBorders>
              <w:top w:val="nil"/>
              <w:bottom w:val="nil"/>
            </w:tcBorders>
            <w:vAlign w:val="center"/>
          </w:tcPr>
          <w:p w14:paraId="1A108DE7">
            <w:pPr>
              <w:snapToGrid w:val="0"/>
              <w:spacing w:after="0" w:line="288" w:lineRule="auto"/>
              <w:contextualSpacing/>
              <w:rPr>
                <w:sz w:val="18"/>
                <w:szCs w:val="21"/>
                <w:lang w:eastAsia="zh-CN"/>
              </w:rPr>
            </w:pPr>
            <w:r>
              <w:rPr>
                <w:rFonts w:eastAsia="等线" w:cs="Times New Roman"/>
                <w:color w:val="000000"/>
                <w:sz w:val="18"/>
                <w:szCs w:val="18"/>
              </w:rPr>
              <w:t xml:space="preserve">0.633 </w:t>
            </w:r>
          </w:p>
        </w:tc>
        <w:tc>
          <w:tcPr>
            <w:tcW w:w="1281" w:type="dxa"/>
            <w:tcBorders>
              <w:top w:val="nil"/>
              <w:bottom w:val="nil"/>
            </w:tcBorders>
            <w:vAlign w:val="center"/>
          </w:tcPr>
          <w:p w14:paraId="08208A19">
            <w:pPr>
              <w:snapToGrid w:val="0"/>
              <w:spacing w:after="0" w:line="288" w:lineRule="auto"/>
              <w:contextualSpacing/>
              <w:rPr>
                <w:sz w:val="18"/>
                <w:szCs w:val="21"/>
                <w:lang w:eastAsia="zh-CN"/>
              </w:rPr>
            </w:pPr>
            <w:r>
              <w:rPr>
                <w:rFonts w:eastAsia="等线" w:cs="Times New Roman"/>
                <w:color w:val="000000"/>
                <w:sz w:val="18"/>
                <w:szCs w:val="18"/>
              </w:rPr>
              <w:t xml:space="preserve">0.152 </w:t>
            </w:r>
          </w:p>
        </w:tc>
        <w:tc>
          <w:tcPr>
            <w:tcW w:w="1236" w:type="dxa"/>
            <w:tcBorders>
              <w:top w:val="nil"/>
              <w:bottom w:val="nil"/>
            </w:tcBorders>
            <w:vAlign w:val="center"/>
          </w:tcPr>
          <w:p w14:paraId="635E96E1">
            <w:pPr>
              <w:snapToGrid w:val="0"/>
              <w:spacing w:after="0" w:line="288" w:lineRule="auto"/>
              <w:contextualSpacing/>
              <w:rPr>
                <w:sz w:val="18"/>
                <w:szCs w:val="21"/>
                <w:lang w:eastAsia="zh-CN"/>
              </w:rPr>
            </w:pPr>
            <w:r>
              <w:rPr>
                <w:rFonts w:eastAsia="等线" w:cs="Times New Roman"/>
                <w:color w:val="000000"/>
                <w:sz w:val="18"/>
                <w:szCs w:val="18"/>
              </w:rPr>
              <w:t xml:space="preserve">0.091 </w:t>
            </w:r>
          </w:p>
        </w:tc>
        <w:tc>
          <w:tcPr>
            <w:tcW w:w="1088" w:type="dxa"/>
            <w:tcBorders>
              <w:top w:val="nil"/>
              <w:bottom w:val="nil"/>
            </w:tcBorders>
          </w:tcPr>
          <w:p w14:paraId="169A11C8">
            <w:pPr>
              <w:snapToGrid w:val="0"/>
              <w:spacing w:after="0" w:line="288" w:lineRule="auto"/>
              <w:contextualSpacing/>
              <w:rPr>
                <w:rFonts w:eastAsia="等线" w:cs="Times New Roman"/>
                <w:color w:val="000000"/>
                <w:sz w:val="18"/>
                <w:szCs w:val="18"/>
                <w:lang w:eastAsia="zh-CN"/>
              </w:rPr>
            </w:pPr>
            <w:r>
              <w:rPr>
                <w:rFonts w:hint="eastAsia" w:eastAsia="等线" w:cs="Times New Roman"/>
                <w:color w:val="000000"/>
                <w:sz w:val="18"/>
                <w:szCs w:val="18"/>
                <w:lang w:eastAsia="zh-CN"/>
              </w:rPr>
              <w:t>0.061</w:t>
            </w:r>
          </w:p>
        </w:tc>
        <w:tc>
          <w:tcPr>
            <w:tcW w:w="1252" w:type="dxa"/>
            <w:tcBorders>
              <w:top w:val="nil"/>
              <w:bottom w:val="nil"/>
            </w:tcBorders>
            <w:vAlign w:val="center"/>
          </w:tcPr>
          <w:p w14:paraId="3ECF1F9D">
            <w:pPr>
              <w:snapToGrid w:val="0"/>
              <w:spacing w:after="0" w:line="288" w:lineRule="auto"/>
              <w:contextualSpacing/>
              <w:rPr>
                <w:sz w:val="18"/>
                <w:szCs w:val="21"/>
                <w:lang w:eastAsia="zh-CN"/>
              </w:rPr>
            </w:pPr>
            <w:r>
              <w:rPr>
                <w:rFonts w:eastAsia="等线" w:cs="Times New Roman"/>
                <w:color w:val="000000"/>
                <w:sz w:val="18"/>
                <w:szCs w:val="18"/>
              </w:rPr>
              <w:t xml:space="preserve">0.077 </w:t>
            </w:r>
          </w:p>
        </w:tc>
        <w:tc>
          <w:tcPr>
            <w:tcW w:w="1311" w:type="dxa"/>
            <w:tcBorders>
              <w:top w:val="nil"/>
              <w:bottom w:val="nil"/>
            </w:tcBorders>
            <w:vAlign w:val="center"/>
          </w:tcPr>
          <w:p w14:paraId="2AFC96C3">
            <w:pPr>
              <w:snapToGrid w:val="0"/>
              <w:spacing w:after="0" w:line="288" w:lineRule="auto"/>
              <w:contextualSpacing/>
              <w:rPr>
                <w:sz w:val="18"/>
                <w:szCs w:val="21"/>
                <w:lang w:eastAsia="zh-CN"/>
              </w:rPr>
            </w:pPr>
            <w:r>
              <w:rPr>
                <w:rFonts w:eastAsia="等线" w:cs="Times New Roman"/>
                <w:color w:val="000000"/>
                <w:sz w:val="18"/>
                <w:szCs w:val="18"/>
              </w:rPr>
              <w:t xml:space="preserve">0.958 </w:t>
            </w:r>
          </w:p>
        </w:tc>
      </w:tr>
      <w:tr w14:paraId="58B365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continue"/>
            <w:tcBorders>
              <w:top w:val="nil"/>
              <w:bottom w:val="single" w:color="auto" w:sz="4" w:space="0"/>
            </w:tcBorders>
            <w:vAlign w:val="center"/>
          </w:tcPr>
          <w:p w14:paraId="5D2B34E2">
            <w:pPr>
              <w:snapToGrid w:val="0"/>
              <w:spacing w:after="0" w:line="288" w:lineRule="auto"/>
              <w:contextualSpacing/>
              <w:rPr>
                <w:sz w:val="18"/>
                <w:szCs w:val="21"/>
                <w:lang w:eastAsia="zh-CN"/>
              </w:rPr>
            </w:pPr>
          </w:p>
        </w:tc>
        <w:tc>
          <w:tcPr>
            <w:tcW w:w="1292" w:type="dxa"/>
            <w:tcBorders>
              <w:top w:val="nil"/>
              <w:bottom w:val="single" w:color="auto" w:sz="4" w:space="0"/>
            </w:tcBorders>
            <w:vAlign w:val="center"/>
          </w:tcPr>
          <w:p w14:paraId="5D989B7D">
            <w:pPr>
              <w:snapToGrid w:val="0"/>
              <w:spacing w:after="0" w:line="288" w:lineRule="auto"/>
              <w:contextualSpacing/>
              <w:rPr>
                <w:sz w:val="18"/>
                <w:szCs w:val="18"/>
                <w:lang w:eastAsia="zh-CN"/>
              </w:rPr>
            </w:pPr>
            <m:oMath>
              <m:r>
                <m:rPr/>
                <w:rPr>
                  <w:rFonts w:ascii="Cambria Math" w:hAnsi="Cambria Math"/>
                  <w:sz w:val="18"/>
                  <w:szCs w:val="18"/>
                </w:rPr>
                <m:t>R</m:t>
              </m:r>
            </m:oMath>
            <w:r>
              <w:rPr>
                <w:sz w:val="18"/>
                <w:szCs w:val="18"/>
                <w:lang w:eastAsia="zh-CN"/>
              </w:rPr>
              <w:t xml:space="preserve"> = 2</w:t>
            </w:r>
          </w:p>
        </w:tc>
        <w:tc>
          <w:tcPr>
            <w:tcW w:w="1244" w:type="dxa"/>
            <w:tcBorders>
              <w:top w:val="nil"/>
              <w:bottom w:val="single" w:color="auto" w:sz="4" w:space="0"/>
            </w:tcBorders>
            <w:vAlign w:val="center"/>
          </w:tcPr>
          <w:p w14:paraId="4291FF00">
            <w:pPr>
              <w:snapToGrid w:val="0"/>
              <w:spacing w:after="0" w:line="288" w:lineRule="auto"/>
              <w:contextualSpacing/>
              <w:rPr>
                <w:b/>
                <w:bCs/>
                <w:sz w:val="18"/>
                <w:szCs w:val="21"/>
                <w:lang w:eastAsia="zh-CN"/>
              </w:rPr>
            </w:pPr>
            <w:r>
              <w:rPr>
                <w:rFonts w:eastAsia="等线" w:cs="Times New Roman"/>
                <w:b/>
                <w:bCs/>
                <w:color w:val="000000"/>
                <w:sz w:val="18"/>
                <w:szCs w:val="18"/>
              </w:rPr>
              <w:t xml:space="preserve">0.649 </w:t>
            </w:r>
          </w:p>
        </w:tc>
        <w:tc>
          <w:tcPr>
            <w:tcW w:w="1281" w:type="dxa"/>
            <w:tcBorders>
              <w:top w:val="nil"/>
              <w:bottom w:val="single" w:color="auto" w:sz="4" w:space="0"/>
            </w:tcBorders>
            <w:vAlign w:val="center"/>
          </w:tcPr>
          <w:p w14:paraId="75F06EC0">
            <w:pPr>
              <w:snapToGrid w:val="0"/>
              <w:spacing w:after="0" w:line="288" w:lineRule="auto"/>
              <w:contextualSpacing/>
              <w:rPr>
                <w:b/>
                <w:bCs/>
                <w:sz w:val="18"/>
                <w:szCs w:val="21"/>
                <w:lang w:eastAsia="zh-CN"/>
              </w:rPr>
            </w:pPr>
            <w:r>
              <w:rPr>
                <w:rFonts w:eastAsia="等线" w:cs="Times New Roman"/>
                <w:b/>
                <w:bCs/>
                <w:color w:val="000000"/>
                <w:sz w:val="18"/>
                <w:szCs w:val="18"/>
              </w:rPr>
              <w:t xml:space="preserve">0.178 </w:t>
            </w:r>
          </w:p>
        </w:tc>
        <w:tc>
          <w:tcPr>
            <w:tcW w:w="1236" w:type="dxa"/>
            <w:tcBorders>
              <w:top w:val="nil"/>
              <w:bottom w:val="single" w:color="auto" w:sz="4" w:space="0"/>
            </w:tcBorders>
            <w:vAlign w:val="center"/>
          </w:tcPr>
          <w:p w14:paraId="23D5AE18">
            <w:pPr>
              <w:snapToGrid w:val="0"/>
              <w:spacing w:after="0" w:line="288" w:lineRule="auto"/>
              <w:contextualSpacing/>
              <w:rPr>
                <w:b/>
                <w:bCs/>
                <w:sz w:val="18"/>
                <w:szCs w:val="21"/>
                <w:lang w:eastAsia="zh-CN"/>
              </w:rPr>
            </w:pPr>
            <w:r>
              <w:rPr>
                <w:rFonts w:eastAsia="等线" w:cs="Times New Roman"/>
                <w:b/>
                <w:bCs/>
                <w:color w:val="000000"/>
                <w:sz w:val="18"/>
                <w:szCs w:val="18"/>
              </w:rPr>
              <w:t xml:space="preserve">0.124 </w:t>
            </w:r>
          </w:p>
        </w:tc>
        <w:tc>
          <w:tcPr>
            <w:tcW w:w="1088" w:type="dxa"/>
            <w:tcBorders>
              <w:top w:val="nil"/>
              <w:bottom w:val="single" w:color="auto" w:sz="4" w:space="0"/>
            </w:tcBorders>
          </w:tcPr>
          <w:p w14:paraId="7F843225">
            <w:pPr>
              <w:snapToGrid w:val="0"/>
              <w:spacing w:after="0" w:line="288" w:lineRule="auto"/>
              <w:contextualSpacing/>
              <w:rPr>
                <w:rFonts w:eastAsia="等线" w:cs="Times New Roman"/>
                <w:b/>
                <w:bCs/>
                <w:color w:val="000000"/>
                <w:sz w:val="18"/>
                <w:szCs w:val="18"/>
                <w:lang w:eastAsia="zh-CN"/>
              </w:rPr>
            </w:pPr>
            <w:r>
              <w:rPr>
                <w:rFonts w:hint="eastAsia" w:eastAsia="等线" w:cs="Times New Roman"/>
                <w:b/>
                <w:bCs/>
                <w:color w:val="000000"/>
                <w:sz w:val="18"/>
                <w:szCs w:val="18"/>
                <w:lang w:eastAsia="zh-CN"/>
              </w:rPr>
              <w:t>0.075</w:t>
            </w:r>
          </w:p>
        </w:tc>
        <w:tc>
          <w:tcPr>
            <w:tcW w:w="1252" w:type="dxa"/>
            <w:tcBorders>
              <w:top w:val="nil"/>
              <w:bottom w:val="single" w:color="auto" w:sz="4" w:space="0"/>
            </w:tcBorders>
            <w:vAlign w:val="center"/>
          </w:tcPr>
          <w:p w14:paraId="57848963">
            <w:pPr>
              <w:snapToGrid w:val="0"/>
              <w:spacing w:after="0" w:line="288" w:lineRule="auto"/>
              <w:contextualSpacing/>
              <w:rPr>
                <w:b/>
                <w:bCs/>
                <w:sz w:val="18"/>
                <w:szCs w:val="21"/>
                <w:lang w:eastAsia="zh-CN"/>
              </w:rPr>
            </w:pPr>
            <w:r>
              <w:rPr>
                <w:rFonts w:eastAsia="等线" w:cs="Times New Roman"/>
                <w:b/>
                <w:bCs/>
                <w:color w:val="000000"/>
                <w:sz w:val="18"/>
                <w:szCs w:val="18"/>
              </w:rPr>
              <w:t xml:space="preserve">0.096 </w:t>
            </w:r>
          </w:p>
        </w:tc>
        <w:tc>
          <w:tcPr>
            <w:tcW w:w="1311" w:type="dxa"/>
            <w:tcBorders>
              <w:top w:val="nil"/>
              <w:bottom w:val="single" w:color="auto" w:sz="4" w:space="0"/>
            </w:tcBorders>
            <w:vAlign w:val="center"/>
          </w:tcPr>
          <w:p w14:paraId="12977D6C">
            <w:pPr>
              <w:snapToGrid w:val="0"/>
              <w:spacing w:after="0" w:line="288" w:lineRule="auto"/>
              <w:contextualSpacing/>
              <w:rPr>
                <w:sz w:val="18"/>
                <w:szCs w:val="21"/>
                <w:lang w:eastAsia="zh-CN"/>
              </w:rPr>
            </w:pPr>
            <w:r>
              <w:rPr>
                <w:rFonts w:eastAsia="等线" w:cs="Times New Roman"/>
                <w:color w:val="000000"/>
                <w:sz w:val="18"/>
                <w:szCs w:val="18"/>
              </w:rPr>
              <w:t xml:space="preserve">0.953 </w:t>
            </w:r>
          </w:p>
        </w:tc>
      </w:tr>
      <w:tr w14:paraId="178AA2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restart"/>
            <w:tcBorders>
              <w:top w:val="single" w:color="auto" w:sz="4" w:space="0"/>
            </w:tcBorders>
            <w:vAlign w:val="center"/>
          </w:tcPr>
          <w:p w14:paraId="754EEA0A">
            <w:pPr>
              <w:snapToGrid w:val="0"/>
              <w:spacing w:after="0" w:line="288" w:lineRule="auto"/>
              <w:contextualSpacing/>
              <w:rPr>
                <w:rFonts w:eastAsia="宋体"/>
                <w:sz w:val="18"/>
                <w:szCs w:val="21"/>
                <w:lang w:eastAsia="zh-CN"/>
              </w:rPr>
            </w:pPr>
            <w:r>
              <w:rPr>
                <w:sz w:val="18"/>
                <w:szCs w:val="21"/>
                <w:lang w:eastAsia="zh-CN"/>
              </w:rPr>
              <w:t>Knowledge Injection</w:t>
            </w:r>
          </w:p>
        </w:tc>
        <w:tc>
          <w:tcPr>
            <w:tcW w:w="1292" w:type="dxa"/>
            <w:tcBorders>
              <w:top w:val="single" w:color="auto" w:sz="4" w:space="0"/>
            </w:tcBorders>
            <w:vAlign w:val="center"/>
          </w:tcPr>
          <w:p w14:paraId="6F757AF0">
            <w:pPr>
              <w:snapToGrid w:val="0"/>
              <w:spacing w:after="0" w:line="288" w:lineRule="auto"/>
              <w:contextualSpacing/>
              <w:rPr>
                <w:sz w:val="18"/>
                <w:szCs w:val="21"/>
                <w:lang w:eastAsia="zh-CN"/>
              </w:rPr>
            </w:pPr>
            <w:r>
              <w:rPr>
                <w:sz w:val="18"/>
                <w:szCs w:val="21"/>
                <w:lang w:eastAsia="zh-CN"/>
              </w:rPr>
              <w:t>Off</w:t>
            </w:r>
          </w:p>
        </w:tc>
        <w:tc>
          <w:tcPr>
            <w:tcW w:w="1244" w:type="dxa"/>
            <w:tcBorders>
              <w:top w:val="single" w:color="auto" w:sz="4" w:space="0"/>
            </w:tcBorders>
            <w:vAlign w:val="center"/>
          </w:tcPr>
          <w:p w14:paraId="08FA4C64">
            <w:pPr>
              <w:snapToGrid w:val="0"/>
              <w:spacing w:after="0" w:line="288" w:lineRule="auto"/>
              <w:contextualSpacing/>
              <w:rPr>
                <w:sz w:val="18"/>
                <w:szCs w:val="21"/>
                <w:lang w:eastAsia="zh-CN"/>
              </w:rPr>
            </w:pPr>
            <w:r>
              <w:rPr>
                <w:rFonts w:eastAsia="等线" w:cs="Times New Roman"/>
                <w:color w:val="000000"/>
                <w:sz w:val="18"/>
                <w:szCs w:val="18"/>
              </w:rPr>
              <w:t xml:space="preserve">0.627 </w:t>
            </w:r>
          </w:p>
        </w:tc>
        <w:tc>
          <w:tcPr>
            <w:tcW w:w="1281" w:type="dxa"/>
            <w:tcBorders>
              <w:top w:val="single" w:color="auto" w:sz="4" w:space="0"/>
            </w:tcBorders>
            <w:vAlign w:val="center"/>
          </w:tcPr>
          <w:p w14:paraId="05514DE8">
            <w:pPr>
              <w:snapToGrid w:val="0"/>
              <w:spacing w:after="0" w:line="288" w:lineRule="auto"/>
              <w:contextualSpacing/>
              <w:rPr>
                <w:sz w:val="18"/>
                <w:szCs w:val="21"/>
                <w:lang w:eastAsia="zh-CN"/>
              </w:rPr>
            </w:pPr>
            <w:r>
              <w:rPr>
                <w:rFonts w:eastAsia="等线" w:cs="Times New Roman"/>
                <w:color w:val="000000"/>
                <w:sz w:val="18"/>
                <w:szCs w:val="18"/>
              </w:rPr>
              <w:t xml:space="preserve">0.159 </w:t>
            </w:r>
          </w:p>
        </w:tc>
        <w:tc>
          <w:tcPr>
            <w:tcW w:w="1236" w:type="dxa"/>
            <w:tcBorders>
              <w:top w:val="single" w:color="auto" w:sz="4" w:space="0"/>
            </w:tcBorders>
            <w:vAlign w:val="center"/>
          </w:tcPr>
          <w:p w14:paraId="1B266BE4">
            <w:pPr>
              <w:snapToGrid w:val="0"/>
              <w:spacing w:after="0" w:line="288" w:lineRule="auto"/>
              <w:contextualSpacing/>
              <w:rPr>
                <w:sz w:val="18"/>
                <w:szCs w:val="21"/>
                <w:lang w:eastAsia="zh-CN"/>
              </w:rPr>
            </w:pPr>
            <w:r>
              <w:rPr>
                <w:rFonts w:eastAsia="等线" w:cs="Times New Roman"/>
                <w:color w:val="000000"/>
                <w:sz w:val="18"/>
                <w:szCs w:val="18"/>
              </w:rPr>
              <w:t xml:space="preserve">0.093 </w:t>
            </w:r>
          </w:p>
        </w:tc>
        <w:tc>
          <w:tcPr>
            <w:tcW w:w="1088" w:type="dxa"/>
            <w:tcBorders>
              <w:top w:val="single" w:color="auto" w:sz="4" w:space="0"/>
            </w:tcBorders>
          </w:tcPr>
          <w:p w14:paraId="3592BFA0">
            <w:pPr>
              <w:snapToGrid w:val="0"/>
              <w:spacing w:after="0" w:line="288" w:lineRule="auto"/>
              <w:contextualSpacing/>
              <w:rPr>
                <w:rFonts w:eastAsia="等线" w:cs="Times New Roman"/>
                <w:color w:val="000000"/>
                <w:sz w:val="18"/>
                <w:szCs w:val="18"/>
                <w:lang w:eastAsia="zh-CN"/>
              </w:rPr>
            </w:pPr>
            <w:r>
              <w:rPr>
                <w:rFonts w:hint="eastAsia" w:eastAsia="等线" w:cs="Times New Roman"/>
                <w:color w:val="000000"/>
                <w:sz w:val="18"/>
                <w:szCs w:val="18"/>
                <w:lang w:eastAsia="zh-CN"/>
              </w:rPr>
              <w:t>0.063</w:t>
            </w:r>
          </w:p>
        </w:tc>
        <w:tc>
          <w:tcPr>
            <w:tcW w:w="1252" w:type="dxa"/>
            <w:tcBorders>
              <w:top w:val="single" w:color="auto" w:sz="4" w:space="0"/>
            </w:tcBorders>
            <w:vAlign w:val="center"/>
          </w:tcPr>
          <w:p w14:paraId="2C05BC8E">
            <w:pPr>
              <w:snapToGrid w:val="0"/>
              <w:spacing w:after="0" w:line="288" w:lineRule="auto"/>
              <w:contextualSpacing/>
              <w:rPr>
                <w:sz w:val="18"/>
                <w:szCs w:val="21"/>
                <w:lang w:eastAsia="zh-CN"/>
              </w:rPr>
            </w:pPr>
            <w:r>
              <w:rPr>
                <w:rFonts w:eastAsia="等线" w:cs="Times New Roman"/>
                <w:color w:val="000000"/>
                <w:sz w:val="18"/>
                <w:szCs w:val="18"/>
              </w:rPr>
              <w:t xml:space="preserve">0.088 </w:t>
            </w:r>
          </w:p>
        </w:tc>
        <w:tc>
          <w:tcPr>
            <w:tcW w:w="1311" w:type="dxa"/>
            <w:tcBorders>
              <w:top w:val="single" w:color="auto" w:sz="4" w:space="0"/>
            </w:tcBorders>
            <w:vAlign w:val="center"/>
          </w:tcPr>
          <w:p w14:paraId="731F6C4C">
            <w:pPr>
              <w:snapToGrid w:val="0"/>
              <w:spacing w:after="0" w:line="288" w:lineRule="auto"/>
              <w:contextualSpacing/>
              <w:rPr>
                <w:sz w:val="18"/>
                <w:szCs w:val="21"/>
                <w:lang w:eastAsia="zh-CN"/>
              </w:rPr>
            </w:pPr>
            <w:r>
              <w:rPr>
                <w:rFonts w:eastAsia="等线" w:cs="Times New Roman"/>
                <w:color w:val="000000"/>
                <w:sz w:val="18"/>
                <w:szCs w:val="18"/>
              </w:rPr>
              <w:t xml:space="preserve">0.947 </w:t>
            </w:r>
          </w:p>
        </w:tc>
      </w:tr>
      <w:tr w14:paraId="4912EC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continue"/>
            <w:vAlign w:val="center"/>
          </w:tcPr>
          <w:p w14:paraId="3C7DBC2C">
            <w:pPr>
              <w:snapToGrid w:val="0"/>
              <w:spacing w:after="0" w:line="288" w:lineRule="auto"/>
              <w:contextualSpacing/>
              <w:rPr>
                <w:sz w:val="18"/>
                <w:szCs w:val="21"/>
                <w:lang w:eastAsia="zh-CN"/>
              </w:rPr>
            </w:pPr>
          </w:p>
        </w:tc>
        <w:tc>
          <w:tcPr>
            <w:tcW w:w="1292" w:type="dxa"/>
            <w:vAlign w:val="center"/>
          </w:tcPr>
          <w:p w14:paraId="3EA8B38F">
            <w:pPr>
              <w:snapToGrid w:val="0"/>
              <w:spacing w:after="0" w:line="288" w:lineRule="auto"/>
              <w:contextualSpacing/>
              <w:rPr>
                <w:sz w:val="18"/>
                <w:szCs w:val="21"/>
                <w:lang w:eastAsia="zh-CN"/>
              </w:rPr>
            </w:pPr>
            <w:r>
              <w:rPr>
                <w:sz w:val="18"/>
                <w:szCs w:val="21"/>
                <w:lang w:eastAsia="zh-CN"/>
              </w:rPr>
              <w:t>On</w:t>
            </w:r>
          </w:p>
        </w:tc>
        <w:tc>
          <w:tcPr>
            <w:tcW w:w="1244" w:type="dxa"/>
            <w:vAlign w:val="center"/>
          </w:tcPr>
          <w:p w14:paraId="68FD4B0A">
            <w:pPr>
              <w:snapToGrid w:val="0"/>
              <w:spacing w:after="0" w:line="288" w:lineRule="auto"/>
              <w:contextualSpacing/>
              <w:rPr>
                <w:b/>
                <w:bCs/>
                <w:sz w:val="18"/>
                <w:szCs w:val="21"/>
                <w:lang w:eastAsia="zh-CN"/>
              </w:rPr>
            </w:pPr>
            <w:r>
              <w:rPr>
                <w:rFonts w:eastAsia="等线" w:cs="Times New Roman"/>
                <w:b/>
                <w:bCs/>
                <w:color w:val="000000"/>
                <w:sz w:val="18"/>
                <w:szCs w:val="18"/>
              </w:rPr>
              <w:t xml:space="preserve">0.635 </w:t>
            </w:r>
          </w:p>
        </w:tc>
        <w:tc>
          <w:tcPr>
            <w:tcW w:w="1281" w:type="dxa"/>
            <w:vAlign w:val="center"/>
          </w:tcPr>
          <w:p w14:paraId="5834B385">
            <w:pPr>
              <w:snapToGrid w:val="0"/>
              <w:spacing w:after="0" w:line="288" w:lineRule="auto"/>
              <w:contextualSpacing/>
              <w:rPr>
                <w:b/>
                <w:bCs/>
                <w:sz w:val="18"/>
                <w:szCs w:val="21"/>
                <w:lang w:eastAsia="zh-CN"/>
              </w:rPr>
            </w:pPr>
            <w:r>
              <w:rPr>
                <w:rFonts w:eastAsia="等线" w:cs="Times New Roman"/>
                <w:b/>
                <w:bCs/>
                <w:color w:val="000000"/>
                <w:sz w:val="18"/>
                <w:szCs w:val="18"/>
              </w:rPr>
              <w:t xml:space="preserve">0.163 </w:t>
            </w:r>
          </w:p>
        </w:tc>
        <w:tc>
          <w:tcPr>
            <w:tcW w:w="1236" w:type="dxa"/>
            <w:vAlign w:val="center"/>
          </w:tcPr>
          <w:p w14:paraId="78D7DCF0">
            <w:pPr>
              <w:snapToGrid w:val="0"/>
              <w:spacing w:after="0" w:line="288" w:lineRule="auto"/>
              <w:contextualSpacing/>
              <w:rPr>
                <w:b/>
                <w:bCs/>
                <w:sz w:val="18"/>
                <w:szCs w:val="21"/>
                <w:lang w:eastAsia="zh-CN"/>
              </w:rPr>
            </w:pPr>
            <w:r>
              <w:rPr>
                <w:rFonts w:eastAsia="等线" w:cs="Times New Roman"/>
                <w:b/>
                <w:bCs/>
                <w:color w:val="000000"/>
                <w:sz w:val="18"/>
                <w:szCs w:val="18"/>
              </w:rPr>
              <w:t xml:space="preserve">0.105 </w:t>
            </w:r>
          </w:p>
        </w:tc>
        <w:tc>
          <w:tcPr>
            <w:tcW w:w="1088" w:type="dxa"/>
          </w:tcPr>
          <w:p w14:paraId="55DAA204">
            <w:pPr>
              <w:snapToGrid w:val="0"/>
              <w:spacing w:after="0" w:line="288" w:lineRule="auto"/>
              <w:contextualSpacing/>
              <w:rPr>
                <w:rFonts w:eastAsia="等线" w:cs="Times New Roman"/>
                <w:b/>
                <w:bCs/>
                <w:color w:val="000000"/>
                <w:sz w:val="18"/>
                <w:szCs w:val="18"/>
                <w:lang w:eastAsia="zh-CN"/>
              </w:rPr>
            </w:pPr>
            <w:r>
              <w:rPr>
                <w:rFonts w:hint="eastAsia" w:eastAsia="等线" w:cs="Times New Roman"/>
                <w:b/>
                <w:bCs/>
                <w:color w:val="000000"/>
                <w:sz w:val="18"/>
                <w:szCs w:val="18"/>
                <w:lang w:eastAsia="zh-CN"/>
              </w:rPr>
              <w:t>0.069</w:t>
            </w:r>
          </w:p>
        </w:tc>
        <w:tc>
          <w:tcPr>
            <w:tcW w:w="1252" w:type="dxa"/>
            <w:vAlign w:val="center"/>
          </w:tcPr>
          <w:p w14:paraId="0C43EB69">
            <w:pPr>
              <w:snapToGrid w:val="0"/>
              <w:spacing w:after="0" w:line="288" w:lineRule="auto"/>
              <w:contextualSpacing/>
              <w:rPr>
                <w:b/>
                <w:bCs/>
                <w:sz w:val="18"/>
                <w:szCs w:val="21"/>
                <w:lang w:eastAsia="zh-CN"/>
              </w:rPr>
            </w:pPr>
            <w:r>
              <w:rPr>
                <w:rFonts w:eastAsia="等线" w:cs="Times New Roman"/>
                <w:b/>
                <w:bCs/>
                <w:color w:val="000000"/>
                <w:sz w:val="18"/>
                <w:szCs w:val="18"/>
              </w:rPr>
              <w:t xml:space="preserve">0.097 </w:t>
            </w:r>
          </w:p>
        </w:tc>
        <w:tc>
          <w:tcPr>
            <w:tcW w:w="1311" w:type="dxa"/>
            <w:vAlign w:val="center"/>
          </w:tcPr>
          <w:p w14:paraId="24AAD750">
            <w:pPr>
              <w:snapToGrid w:val="0"/>
              <w:spacing w:after="0" w:line="288" w:lineRule="auto"/>
              <w:contextualSpacing/>
              <w:rPr>
                <w:b/>
                <w:bCs/>
                <w:sz w:val="18"/>
                <w:szCs w:val="21"/>
                <w:lang w:eastAsia="zh-CN"/>
              </w:rPr>
            </w:pPr>
            <w:r>
              <w:rPr>
                <w:rFonts w:eastAsia="等线" w:cs="Times New Roman"/>
                <w:b/>
                <w:bCs/>
                <w:color w:val="000000"/>
                <w:sz w:val="18"/>
                <w:szCs w:val="18"/>
              </w:rPr>
              <w:t xml:space="preserve">0.949 </w:t>
            </w:r>
          </w:p>
        </w:tc>
      </w:tr>
    </w:tbl>
    <w:p w14:paraId="7D785262">
      <w:pPr>
        <w:sectPr>
          <w:type w:val="continuous"/>
          <w:pgSz w:w="12240" w:h="15840"/>
          <w:pgMar w:top="1080" w:right="1080" w:bottom="1152" w:left="1080" w:header="720" w:footer="720" w:gutter="0"/>
          <w:cols w:space="720" w:num="1"/>
          <w:docGrid w:linePitch="360" w:charSpace="0"/>
        </w:sectPr>
      </w:pPr>
    </w:p>
    <w:p w14:paraId="3B596AAE">
      <w:pPr>
        <w:pStyle w:val="182"/>
      </w:pPr>
      <w:r>
        <w:rPr>
          <w:rFonts w:hint="eastAsia"/>
        </w:rPr>
        <w:t>5</w:t>
      </w:r>
      <w:r>
        <w:t>.5 Dataset analysis and release characteristics</w:t>
      </w:r>
    </w:p>
    <w:p w14:paraId="705E648F">
      <w:pPr>
        <w:rPr>
          <w:rFonts w:eastAsia="宋体"/>
          <w:lang w:eastAsia="zh-CN"/>
        </w:rPr>
      </w:pPr>
      <w:r>
        <w:rPr>
          <w:lang w:eastAsia="zh-CN"/>
        </w:rPr>
        <w:fldChar w:fldCharType="begin"/>
      </w:r>
      <w:r>
        <w:rPr>
          <w:lang w:eastAsia="zh-CN"/>
        </w:rPr>
        <w:instrText xml:space="preserve"> REF _Ref227974620 \h </w:instrText>
      </w:r>
      <w:r>
        <w:rPr>
          <w:lang w:eastAsia="zh-CN"/>
        </w:rPr>
        <w:fldChar w:fldCharType="separate"/>
      </w:r>
      <w:r>
        <w:t>Figure 5</w:t>
      </w:r>
      <w:r>
        <w:rPr>
          <w:lang w:eastAsia="zh-CN"/>
        </w:rPr>
        <w:fldChar w:fldCharType="end"/>
      </w:r>
      <w:r>
        <w:rPr>
          <w:lang w:eastAsia="zh-CN"/>
        </w:rPr>
        <w:t xml:space="preserve"> shows the distribution of quality scores across the 35,009 generated QA pairs. The distribution centers around 0.667 with </w:t>
      </w:r>
      <m:oMath>
        <m:r>
          <m:rPr/>
          <w:rPr>
            <w:rFonts w:ascii="Cambria Math" w:hAnsi="Cambria Math"/>
            <w:lang w:eastAsia="zh-CN"/>
          </w:rPr>
          <m:t>σ</m:t>
        </m:r>
      </m:oMath>
      <w:r>
        <w:rPr>
          <w:lang w:eastAsia="zh-CN"/>
        </w:rPr>
        <w:t xml:space="preserve"> = 0.103, and 89.7% of pairs exceed the minimum threshold </w:t>
      </w:r>
      <m:oMath>
        <m:r>
          <m:rPr/>
          <w:rPr>
            <w:rFonts w:ascii="Cambria Math" w:hAnsi="Cambria Math"/>
            <w:lang w:eastAsia="zh-CN"/>
          </w:rPr>
          <m:t>τ</m:t>
        </m:r>
      </m:oMath>
      <w:r>
        <w:rPr>
          <w:lang w:eastAsia="zh-CN"/>
        </w:rPr>
        <w:t xml:space="preserve"> = 0.5.</w:t>
      </w:r>
      <w:r>
        <w:rPr>
          <w:rFonts w:hint="eastAsia" w:eastAsia="宋体"/>
          <w:lang w:eastAsia="zh-CN"/>
        </w:rPr>
        <w:t xml:space="preserve"> </w:t>
      </w:r>
    </w:p>
    <w:p w14:paraId="0FE90337">
      <w:pPr>
        <w:rPr>
          <w:rFonts w:eastAsia="宋体"/>
          <w:lang w:eastAsia="zh-CN"/>
        </w:rPr>
      </w:pPr>
      <w:r>
        <w:rPr>
          <w:lang w:eastAsia="zh-CN"/>
        </w:rPr>
        <w:t xml:space="preserve">The expert‑usage profile is highly skewed in a meaningful way. </w:t>
      </w:r>
      <w:r>
        <w:rPr>
          <w:lang w:eastAsia="zh-CN"/>
        </w:rPr>
        <w:fldChar w:fldCharType="begin"/>
      </w:r>
      <w:r>
        <w:rPr>
          <w:lang w:eastAsia="zh-CN"/>
        </w:rPr>
        <w:instrText xml:space="preserve"> REF _Ref226558583 \h </w:instrText>
      </w:r>
      <w:r>
        <w:rPr>
          <w:lang w:eastAsia="zh-CN"/>
        </w:rPr>
        <w:fldChar w:fldCharType="separate"/>
      </w:r>
      <w:r>
        <w:rPr>
          <w:rStyle w:val="179"/>
          <w14:ligatures w14:val="standard"/>
        </w:rPr>
        <w:t xml:space="preserve">Figure </w:t>
      </w:r>
      <w:r>
        <w:rPr>
          <w:rStyle w:val="179"/>
        </w:rPr>
        <w:t>6</w:t>
      </w:r>
      <w:r>
        <w:rPr>
          <w:lang w:eastAsia="zh-CN"/>
        </w:rPr>
        <w:fldChar w:fldCharType="end"/>
      </w:r>
      <w:r>
        <w:rPr>
          <w:lang w:eastAsia="zh-CN"/>
        </w:rPr>
        <w:t xml:space="preserve"> presents the frequency of each expert agent’s invocation. The Summary expert dominates overall use, followed by Consistency Verification and Classification. This pattern supports the system’s sparse‑activation logic: base‑layer experts handle the majority of chunks, while upper‑layer specialists such as Greenwashing Detection, Temporal Analysis, Benchmark Comparison, and Knowledge Graph are invoked only when the content indicates a need for them. In other words, the expert distribution is not balanced by design; it is adaptive by design.</w:t>
      </w:r>
    </w:p>
    <w:p w14:paraId="792CFE7D">
      <w:pPr>
        <w:keepNext/>
      </w:pPr>
      <w:r>
        <w:drawing>
          <wp:inline distT="0" distB="0" distL="0" distR="0">
            <wp:extent cx="2971800" cy="1160145"/>
            <wp:effectExtent l="0" t="0" r="0" b="1905"/>
            <wp:docPr id="614051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51892" name="图片 1"/>
                    <pic:cNvPicPr>
                      <a:picLocks noChangeAspect="1"/>
                    </pic:cNvPicPr>
                  </pic:nvPicPr>
                  <pic:blipFill>
                    <a:blip r:embed="rId12"/>
                    <a:stretch>
                      <a:fillRect/>
                    </a:stretch>
                  </pic:blipFill>
                  <pic:spPr>
                    <a:xfrm>
                      <a:off x="0" y="0"/>
                      <a:ext cx="2971800" cy="1160145"/>
                    </a:xfrm>
                    <a:prstGeom prst="rect">
                      <a:avLst/>
                    </a:prstGeom>
                  </pic:spPr>
                </pic:pic>
              </a:graphicData>
            </a:graphic>
          </wp:inline>
        </w:drawing>
      </w:r>
    </w:p>
    <w:p w14:paraId="4E2BF360">
      <w:pPr>
        <w:pStyle w:val="184"/>
      </w:pPr>
      <w:bookmarkStart w:id="9" w:name="_Ref227974620"/>
      <w:r>
        <w:t xml:space="preserve">Figure </w:t>
      </w:r>
      <w:r>
        <w:fldChar w:fldCharType="begin"/>
      </w:r>
      <w:r>
        <w:instrText xml:space="preserve"> SEQ Figure \* ARABIC </w:instrText>
      </w:r>
      <w:r>
        <w:fldChar w:fldCharType="separate"/>
      </w:r>
      <w:r>
        <w:t>6</w:t>
      </w:r>
      <w:r>
        <w:fldChar w:fldCharType="end"/>
      </w:r>
      <w:bookmarkEnd w:id="9"/>
      <w:r>
        <w:rPr>
          <w:rFonts w:hint="eastAsia"/>
        </w:rPr>
        <w:t xml:space="preserve"> </w:t>
      </w:r>
      <w:r>
        <w:t>Distribution of expert agent invocations across</w:t>
      </w:r>
      <w:r>
        <w:rPr>
          <w:rFonts w:hint="eastAsia"/>
        </w:rPr>
        <w:t xml:space="preserve"> </w:t>
      </w:r>
      <w:r>
        <w:t>35,009 QA pairs. Summary Expert dominates base-layer usage, while Consistency Verification Expert is the most frequently activated upper-layer agent</w:t>
      </w:r>
    </w:p>
    <w:p w14:paraId="65783813">
      <w:r>
        <w:rPr>
          <w:rFonts w:hint="eastAsia"/>
        </w:rPr>
        <w:drawing>
          <wp:inline distT="0" distB="0" distL="0" distR="0">
            <wp:extent cx="2971800" cy="1857375"/>
            <wp:effectExtent l="0" t="0" r="0" b="9525"/>
            <wp:docPr id="1252674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74266"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971800" cy="1857375"/>
                    </a:xfrm>
                    <a:prstGeom prst="rect">
                      <a:avLst/>
                    </a:prstGeom>
                    <a:noFill/>
                    <a:ln>
                      <a:noFill/>
                    </a:ln>
                  </pic:spPr>
                </pic:pic>
              </a:graphicData>
            </a:graphic>
          </wp:inline>
        </w:drawing>
      </w:r>
    </w:p>
    <w:p w14:paraId="500C190D">
      <w:pPr>
        <w:pStyle w:val="184"/>
        <w:rPr>
          <w:rStyle w:val="179"/>
          <w:b/>
        </w:rPr>
      </w:pPr>
      <w:bookmarkStart w:id="10" w:name="_Ref226558583"/>
      <w:r>
        <w:rPr>
          <w:rStyle w:val="179"/>
          <w:b/>
        </w:rPr>
        <w:t xml:space="preserve">Figure </w:t>
      </w:r>
      <w:r>
        <w:rPr>
          <w:rStyle w:val="179"/>
          <w:b/>
        </w:rPr>
        <w:fldChar w:fldCharType="begin"/>
      </w:r>
      <w:r>
        <w:rPr>
          <w:rStyle w:val="179"/>
          <w:b/>
        </w:rPr>
        <w:instrText xml:space="preserve"> SEQ Figure \* ARABIC </w:instrText>
      </w:r>
      <w:r>
        <w:rPr>
          <w:rStyle w:val="179"/>
          <w:b/>
        </w:rPr>
        <w:fldChar w:fldCharType="separate"/>
      </w:r>
      <w:r>
        <w:rPr>
          <w:rStyle w:val="179"/>
          <w:b/>
        </w:rPr>
        <w:t>7</w:t>
      </w:r>
      <w:r>
        <w:rPr>
          <w:rStyle w:val="179"/>
          <w:b/>
        </w:rPr>
        <w:fldChar w:fldCharType="end"/>
      </w:r>
      <w:bookmarkEnd w:id="10"/>
      <w:r>
        <w:rPr>
          <w:rStyle w:val="179"/>
          <w:rFonts w:hint="eastAsia"/>
          <w:b/>
        </w:rPr>
        <w:t xml:space="preserve">: </w:t>
      </w:r>
      <w:r>
        <w:t>Distribution of quality scores across 35,009 generated QA pairs. The distribution centers around 0.667 with</w:t>
      </w:r>
      <w:r>
        <w:rPr>
          <w:rFonts w:hint="eastAsia"/>
        </w:rPr>
        <w:t xml:space="preserve"> </w:t>
      </w:r>
      <m:oMath>
        <m:r>
          <m:rPr>
            <m:sty m:val="bi"/>
          </m:rPr>
          <w:rPr>
            <w:rFonts w:ascii="Cambria Math" w:hAnsi="Cambria Math"/>
          </w:rPr>
          <m:t>σ</m:t>
        </m:r>
      </m:oMath>
      <w:r>
        <w:t xml:space="preserve"> = 0.103, and 89.7% of pairs exceed the minimum threshold </w:t>
      </w:r>
      <m:oMath>
        <m:r>
          <m:rPr>
            <m:sty m:val="bi"/>
          </m:rPr>
          <w:rPr>
            <w:rFonts w:ascii="Cambria Math" w:hAnsi="Cambria Math"/>
          </w:rPr>
          <m:t>τ</m:t>
        </m:r>
      </m:oMath>
      <w:r>
        <w:t xml:space="preserve"> = 0</w:t>
      </w:r>
      <w:r>
        <w:rPr>
          <w:rStyle w:val="179"/>
          <w:b/>
        </w:rPr>
        <w:t>.5.</w:t>
      </w:r>
    </w:p>
    <w:p w14:paraId="673DFE22">
      <w:pPr>
        <w:pStyle w:val="182"/>
      </w:pPr>
      <w:r>
        <w:rPr>
          <w:rFonts w:hint="eastAsia"/>
        </w:rPr>
        <w:t>5</w:t>
      </w:r>
      <w:r>
        <w:t>.6 Performance interpretation, limitations, and reuse guidance</w:t>
      </w:r>
    </w:p>
    <w:p w14:paraId="504B59E8">
      <w:pPr>
        <w:rPr>
          <w:lang w:eastAsia="zh-CN"/>
        </w:rPr>
      </w:pPr>
      <w:r>
        <w:rPr>
          <w:lang w:eastAsia="zh-CN"/>
        </w:rPr>
        <w:t xml:space="preserve">Taken together, the results show that CoDE improves the aspects of generation that matter most for ESG data management: stronger source fidelity, markedly higher ESG-domain relevance, higher diversity, and high factual grounding. The system also scales without architectural modification, which makes it more valuable as a reusable data-engineering asset. At the same time, </w:t>
      </w:r>
      <w:r>
        <w:rPr>
          <w:rFonts w:hint="eastAsia" w:eastAsia="宋体"/>
          <w:lang w:eastAsia="zh-CN"/>
        </w:rPr>
        <w:t>there are</w:t>
      </w:r>
      <w:r>
        <w:rPr>
          <w:lang w:eastAsia="zh-CN"/>
        </w:rPr>
        <w:t xml:space="preserve"> several limitations. Intrinsic metrics do not completely determine downstream task utility. Expert prompts may introduce style or coverage bias. And although the system scales to 20,000 chunks, additional optimization would be necessary for real-time or streaming deployment scenarios.</w:t>
      </w:r>
    </w:p>
    <w:p w14:paraId="6343C197">
      <w:pPr>
        <w:rPr>
          <w:rFonts w:eastAsia="宋体"/>
          <w:lang w:eastAsia="zh-CN"/>
        </w:rPr>
      </w:pPr>
      <w:r>
        <w:rPr>
          <w:lang w:eastAsia="zh-CN"/>
        </w:rPr>
        <w:t>For reuse, the most defensible practice is to preserve the pipeline’s intermediate artifacts: cleaned chunks, routing decisions, expert outputs, quality scores, and provenance metadata. Doing so allows future researchers to extend the corpus, swap in new experts, alter the selection thresholds, or re-tune the quality gate without losing auditability. This is especially important if future versions add cross-document synthesis, multilingual processing, or learned quality estimators.</w:t>
      </w:r>
    </w:p>
    <w:p w14:paraId="29AEF2D6">
      <w:pPr>
        <w:pStyle w:val="168"/>
      </w:pPr>
      <w:r>
        <w:rPr>
          <w:rFonts w:hint="eastAsia" w:eastAsia="宋体"/>
          <w:lang w:eastAsia="zh-CN"/>
        </w:rPr>
        <w:t>6</w:t>
      </w:r>
      <w:r>
        <w:t> RELATED WORK</w:t>
      </w:r>
    </w:p>
    <w:p w14:paraId="37A6C95E">
      <w:pPr>
        <w:pStyle w:val="182"/>
        <w:rPr>
          <w:rStyle w:val="179"/>
          <w:b/>
        </w:rPr>
      </w:pPr>
      <w:r>
        <w:rPr>
          <w:rStyle w:val="179"/>
          <w:rFonts w:hint="eastAsia"/>
          <w:b/>
        </w:rPr>
        <w:t>6</w:t>
      </w:r>
      <w:r>
        <w:rPr>
          <w:rStyle w:val="179"/>
          <w:b/>
        </w:rPr>
        <w:t>.1</w:t>
      </w:r>
      <w:r>
        <w:t> </w:t>
      </w:r>
      <w:r>
        <w:rPr>
          <w:rStyle w:val="179"/>
          <w:b/>
        </w:rPr>
        <w:t>Instruction Data Generation</w:t>
      </w:r>
    </w:p>
    <w:p w14:paraId="1487FBE2">
      <w:pPr>
        <w:rPr>
          <w:color w:val="000000" w:themeColor="text1"/>
          <w14:textFill>
            <w14:solidFill>
              <w14:schemeClr w14:val="tx1"/>
            </w14:solidFill>
          </w14:textFill>
        </w:rPr>
      </w:pPr>
      <w:r>
        <w:rPr>
          <w:color w:val="000000" w:themeColor="text1"/>
          <w14:textFill>
            <w14:solidFill>
              <w14:schemeClr w14:val="tx1"/>
            </w14:solidFill>
          </w14:textFill>
        </w:rPr>
        <w:t xml:space="preserve">High-quality instruction data is foundational for the effective training and tuning of LLMs, particularly in specialized domains such as ESG and carbon accounting. A comprehensive survey of instruction tuning methods </w:t>
      </w:r>
      <w:r>
        <w:fldChar w:fldCharType="begin"/>
      </w:r>
      <w:r>
        <w:instrText xml:space="preserve"> HYPERLINK \l "ref_61" \h </w:instrText>
      </w:r>
      <w:r>
        <w:fldChar w:fldCharType="separate"/>
      </w:r>
      <w:r>
        <w:rPr>
          <w:color w:val="000000" w:themeColor="text1"/>
          <w14:textFill>
            <w14:solidFill>
              <w14:schemeClr w14:val="tx1"/>
            </w14:solidFill>
          </w14:textFill>
        </w:rPr>
        <w:t>[61]</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identifies the (instruction, output) supervised fine-tuning paradigm as a critical bridge between the next-word prediction objective of LLMs and the goal of following user instructions. Early work based on GPT-3</w:t>
      </w:r>
      <w:r>
        <w:rPr>
          <w:rFonts w:hint="eastAsia" w:eastAsia="宋体"/>
          <w:color w:val="000000" w:themeColor="text1"/>
          <w:lang w:eastAsia="zh-CN"/>
          <w14:textFill>
            <w14:solidFill>
              <w14:schemeClr w14:val="tx1"/>
            </w14:solidFill>
          </w14:textFill>
        </w:rPr>
        <w:t xml:space="preserve"> </w:t>
      </w:r>
      <w:r>
        <w:fldChar w:fldCharType="begin"/>
      </w:r>
      <w:r>
        <w:instrText xml:space="preserve">HYPERLINK \l "ref_3" \h</w:instrText>
      </w:r>
      <w:r>
        <w:fldChar w:fldCharType="separate"/>
      </w:r>
      <w:r>
        <w:rPr>
          <w:color w:val="000000" w:themeColor="text1"/>
          <w14:textFill>
            <w14:solidFill>
              <w14:schemeClr w14:val="tx1"/>
            </w14:solidFill>
          </w14:textFill>
        </w:rPr>
        <w:t>[3]</w:t>
      </w:r>
      <w:r>
        <w:fldChar w:fldCharType="end"/>
      </w:r>
      <w:r>
        <w:rPr>
          <w:color w:val="000000" w:themeColor="text1"/>
          <w14:textFill>
            <w14:solidFill>
              <w14:schemeClr w14:val="tx1"/>
            </w14:solidFill>
          </w14:textFill>
        </w:rPr>
        <w:t xml:space="preserve"> demonstrated the value of large-scale pre-training, and subsequent studies showed that instruction tuning substantially improves zero-shot and cross-task generalization </w:t>
      </w:r>
      <w:r>
        <w:fldChar w:fldCharType="begin"/>
      </w:r>
      <w:r>
        <w:instrText xml:space="preserve">HYPERLINK \l "ref_39" \h</w:instrText>
      </w:r>
      <w:r>
        <w:fldChar w:fldCharType="separate"/>
      </w:r>
      <w:r>
        <w:rPr>
          <w:color w:val="000000" w:themeColor="text1"/>
          <w14:textFill>
            <w14:solidFill>
              <w14:schemeClr w14:val="tx1"/>
            </w14:solidFill>
          </w14:textFill>
        </w:rPr>
        <w:t>[39</w:t>
      </w:r>
      <w:r>
        <w:rPr>
          <w:rFonts w:hint="eastAsia" w:eastAsia="宋体"/>
          <w:color w:val="000000" w:themeColor="text1"/>
          <w:lang w:eastAsia="zh-CN"/>
          <w14:textFill>
            <w14:solidFill>
              <w14:schemeClr w14:val="tx1"/>
            </w14:solidFill>
          </w14:textFill>
        </w:rPr>
        <w:t>,</w:t>
      </w:r>
      <w:r>
        <w:fldChar w:fldCharType="end"/>
      </w:r>
      <w:r>
        <w:fldChar w:fldCharType="begin"/>
      </w:r>
      <w:r>
        <w:instrText xml:space="preserve">HYPERLINK \l "ref_50" \h</w:instrText>
      </w:r>
      <w:r>
        <w:fldChar w:fldCharType="separate"/>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50]</w:t>
      </w:r>
      <w:r>
        <w:fldChar w:fldCharType="end"/>
      </w:r>
      <w:r>
        <w:rPr>
          <w:color w:val="000000" w:themeColor="text1"/>
          <w14:textFill>
            <w14:solidFill>
              <w14:schemeClr w14:val="tx1"/>
            </w14:solidFill>
          </w14:textFill>
        </w:rPr>
        <w:t xml:space="preserve">. Reinforcement learning from human feedback (RLHF) </w:t>
      </w:r>
      <w:r>
        <w:fldChar w:fldCharType="begin"/>
      </w:r>
      <w:r>
        <w:instrText xml:space="preserve"> HYPERLINK \l "ref_32" \h </w:instrText>
      </w:r>
      <w:r>
        <w:fldChar w:fldCharType="separate"/>
      </w:r>
      <w:r>
        <w:rPr>
          <w:color w:val="000000" w:themeColor="text1"/>
          <w14:textFill>
            <w14:solidFill>
              <w14:schemeClr w14:val="tx1"/>
            </w14:solidFill>
          </w14:textFill>
        </w:rPr>
        <w:t>[32]</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and direct preference optimization (DPO) </w:t>
      </w:r>
      <w:r>
        <w:fldChar w:fldCharType="begin"/>
      </w:r>
      <w:r>
        <w:instrText xml:space="preserve">HYPERLINK \l "ref_36" \h</w:instrText>
      </w:r>
      <w:r>
        <w:fldChar w:fldCharType="separate"/>
      </w:r>
      <w:r>
        <w:rPr>
          <w:color w:val="000000" w:themeColor="text1"/>
          <w14:textFill>
            <w14:solidFill>
              <w14:schemeClr w14:val="tx1"/>
            </w14:solidFill>
          </w14:textFill>
        </w:rPr>
        <w:t>[36]</w:t>
      </w:r>
      <w:r>
        <w:fldChar w:fldCharType="end"/>
      </w:r>
      <w:r>
        <w:rPr>
          <w:color w:val="000000" w:themeColor="text1"/>
          <w14:textFill>
            <w14:solidFill>
              <w14:schemeClr w14:val="tx1"/>
            </w14:solidFill>
          </w14:textFill>
        </w:rPr>
        <w:t xml:space="preserve"> further align LLMs with human preferences without explicit reward models.</w:t>
      </w:r>
    </w:p>
    <w:p w14:paraId="3FD6D3AF">
      <w:pPr>
        <w:rPr>
          <w:color w:val="000000" w:themeColor="text1"/>
          <w14:textFill>
            <w14:solidFill>
              <w14:schemeClr w14:val="tx1"/>
            </w14:solidFill>
          </w14:textFill>
        </w:rPr>
      </w:pPr>
      <w:r>
        <w:rPr>
          <w:color w:val="000000" w:themeColor="text1"/>
          <w14:textFill>
            <w14:solidFill>
              <w14:schemeClr w14:val="tx1"/>
            </w14:solidFill>
          </w14:textFill>
        </w:rPr>
        <w:t xml:space="preserve">To reduce manual annotation costs, bootstrapping methods have emerged. Self-Instruct </w:t>
      </w:r>
      <w:r>
        <w:fldChar w:fldCharType="begin"/>
      </w:r>
      <w:r>
        <w:instrText xml:space="preserve">HYPERLINK \l "ref_46" \h</w:instrText>
      </w:r>
      <w:r>
        <w:fldChar w:fldCharType="separate"/>
      </w:r>
      <w:r>
        <w:rPr>
          <w:color w:val="000000" w:themeColor="text1"/>
          <w14:textFill>
            <w14:solidFill>
              <w14:schemeClr w14:val="tx1"/>
            </w14:solidFill>
          </w14:textFill>
        </w:rPr>
        <w:t>[46]</w:t>
      </w:r>
      <w:r>
        <w:fldChar w:fldCharType="end"/>
      </w:r>
      <w:r>
        <w:t xml:space="preserve"> </w:t>
      </w:r>
      <w:r>
        <w:rPr>
          <w:color w:val="000000" w:themeColor="text1"/>
          <w14:textFill>
            <w14:solidFill>
              <w14:schemeClr w14:val="tx1"/>
            </w14:solidFill>
          </w14:textFill>
        </w:rPr>
        <w:t xml:space="preserve">iteratively expands seed tasks using model-generated instructions, and WizardLM </w:t>
      </w:r>
      <w:r>
        <w:fldChar w:fldCharType="begin"/>
      </w:r>
      <w:r>
        <w:instrText xml:space="preserve">HYPERLINK \l "ref_56" \h</w:instrText>
      </w:r>
      <w:r>
        <w:fldChar w:fldCharType="separate"/>
      </w:r>
      <w:r>
        <w:rPr>
          <w:color w:val="000000" w:themeColor="text1"/>
          <w14:textFill>
            <w14:solidFill>
              <w14:schemeClr w14:val="tx1"/>
            </w14:solidFill>
          </w14:textFill>
        </w:rPr>
        <w:t>[56]</w:t>
      </w:r>
      <w:r>
        <w:fldChar w:fldCharType="end"/>
      </w:r>
      <w:r>
        <w:rPr>
          <w:rFonts w:ascii="Segoe UI" w:hAnsi="Segoe UI" w:cs="Segoe UI"/>
          <w:color w:val="0F1115"/>
          <w:shd w:val="clear" w:color="auto" w:fill="FFFFFF"/>
        </w:rPr>
        <w:t xml:space="preserve"> </w:t>
      </w:r>
      <w:r>
        <w:t>increases instruction complexity through evolutionary prompting</w:t>
      </w:r>
      <w:r>
        <w:rPr>
          <w:color w:val="000000" w:themeColor="text1"/>
          <w14:textFill>
            <w14:solidFill>
              <w14:schemeClr w14:val="tx1"/>
            </w14:solidFill>
          </w14:textFill>
        </w:rPr>
        <w:t xml:space="preserve">. In the distillation paradigm, Alpaca </w:t>
      </w:r>
      <w:r>
        <w:fldChar w:fldCharType="begin"/>
      </w:r>
      <w:r>
        <w:instrText xml:space="preserve"> HYPERLINK \l "ref_41" \h </w:instrText>
      </w:r>
      <w:r>
        <w:fldChar w:fldCharType="separate"/>
      </w:r>
      <w:r>
        <w:rPr>
          <w:color w:val="000000" w:themeColor="text1"/>
          <w14:textFill>
            <w14:solidFill>
              <w14:schemeClr w14:val="tx1"/>
            </w14:solidFill>
          </w14:textFill>
        </w:rPr>
        <w:t>[41]</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fine-tunes open-source models (e.g., LLaMA </w:t>
      </w:r>
      <w:r>
        <w:fldChar w:fldCharType="begin"/>
      </w:r>
      <w:r>
        <w:instrText xml:space="preserve"> HYPERLINK \l "ref_42" \h </w:instrText>
      </w:r>
      <w:r>
        <w:fldChar w:fldCharType="separate"/>
      </w:r>
      <w:r>
        <w:rPr>
          <w:color w:val="000000" w:themeColor="text1"/>
          <w14:textFill>
            <w14:solidFill>
              <w14:schemeClr w14:val="tx1"/>
            </w14:solidFill>
          </w14:textFill>
        </w:rPr>
        <w:t>[42]</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Llama 2 </w:t>
      </w:r>
      <w:r>
        <w:fldChar w:fldCharType="begin"/>
      </w:r>
      <w:r>
        <w:instrText xml:space="preserve"> HYPERLINK \l "ref_43" \h </w:instrText>
      </w:r>
      <w:r>
        <w:fldChar w:fldCharType="separate"/>
      </w:r>
      <w:r>
        <w:rPr>
          <w:color w:val="000000" w:themeColor="text1"/>
          <w14:textFill>
            <w14:solidFill>
              <w14:schemeClr w14:val="tx1"/>
            </w14:solidFill>
          </w14:textFill>
        </w:rPr>
        <w:t>[43]</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on 52K examples distilled from proprietary models. Orca </w:t>
      </w:r>
      <w:r>
        <w:fldChar w:fldCharType="begin"/>
      </w:r>
      <w:r>
        <w:instrText xml:space="preserve"> HYPERLINK \l "ref_31" \h </w:instrText>
      </w:r>
      <w:r>
        <w:fldChar w:fldCharType="separate"/>
      </w:r>
      <w:r>
        <w:rPr>
          <w:color w:val="000000" w:themeColor="text1"/>
          <w14:textFill>
            <w14:solidFill>
              <w14:schemeClr w14:val="tx1"/>
            </w14:solidFill>
          </w14:textFill>
        </w:rPr>
        <w:t>[31]</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learns from rich explanation traces of GPT-4 rather than shallow imitation, while Zephyr </w:t>
      </w:r>
      <w:r>
        <w:fldChar w:fldCharType="begin"/>
      </w:r>
      <w:r>
        <w:instrText xml:space="preserve"> HYPERLINK \l "ref_44" \h </w:instrText>
      </w:r>
      <w:r>
        <w:fldChar w:fldCharType="separate"/>
      </w:r>
      <w:r>
        <w:rPr>
          <w:color w:val="000000" w:themeColor="text1"/>
          <w14:textFill>
            <w14:solidFill>
              <w14:schemeClr w14:val="tx1"/>
            </w14:solidFill>
          </w14:textFill>
        </w:rPr>
        <w:t>[44]</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explores distilled preference optimization. Vicuna </w:t>
      </w:r>
      <w:r>
        <w:fldChar w:fldCharType="begin"/>
      </w:r>
      <w:r>
        <w:instrText xml:space="preserve"> HYPERLINK \l "ref_8" \h </w:instrText>
      </w:r>
      <w: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and Baize </w:t>
      </w:r>
      <w:r>
        <w:fldChar w:fldCharType="begin"/>
      </w:r>
      <w:r>
        <w:instrText xml:space="preserve"> HYPERLINK \l "ref_57" \h </w:instrText>
      </w:r>
      <w:r>
        <w:fldChar w:fldCharType="separate"/>
      </w:r>
      <w:r>
        <w:rPr>
          <w:color w:val="000000" w:themeColor="text1"/>
          <w14:textFill>
            <w14:solidFill>
              <w14:schemeClr w14:val="tx1"/>
            </w14:solidFill>
          </w14:textFill>
        </w:rPr>
        <w:t>[57]</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fine-tune on user-shared or self-generated conversations. Unnatural </w:t>
      </w:r>
      <w:r>
        <w:rPr>
          <w:rFonts w:hint="eastAsia" w:eastAsia="宋体"/>
          <w:color w:val="000000" w:themeColor="text1"/>
          <w:lang w:eastAsia="zh-CN"/>
          <w14:textFill>
            <w14:solidFill>
              <w14:schemeClr w14:val="tx1"/>
            </w14:solidFill>
          </w14:textFill>
        </w:rPr>
        <w:t>i</w:t>
      </w:r>
      <w:r>
        <w:rPr>
          <w:color w:val="000000" w:themeColor="text1"/>
          <w14:textFill>
            <w14:solidFill>
              <w14:schemeClr w14:val="tx1"/>
            </w14:solidFill>
          </w14:textFill>
        </w:rPr>
        <w:t>nstructions</w:t>
      </w:r>
      <w:r>
        <w:rPr>
          <w:rFonts w:hint="eastAsia" w:eastAsia="宋体"/>
          <w:color w:val="000000" w:themeColor="text1"/>
          <w:lang w:eastAsia="zh-CN"/>
          <w14:textFill>
            <w14:solidFill>
              <w14:schemeClr w14:val="tx1"/>
            </w14:solidFill>
          </w14:textFill>
        </w:rPr>
        <w:t xml:space="preserve"> </w:t>
      </w:r>
      <w:r>
        <w:fldChar w:fldCharType="begin"/>
      </w:r>
      <w:r>
        <w:instrText xml:space="preserve">HYPERLINK \l "ref_20" \h</w:instrText>
      </w:r>
      <w:r>
        <w:fldChar w:fldCharType="separate"/>
      </w:r>
      <w:r>
        <w:rPr>
          <w:color w:val="000000" w:themeColor="text1"/>
          <w14:textFill>
            <w14:solidFill>
              <w14:schemeClr w14:val="tx1"/>
            </w14:solidFill>
          </w14:textFill>
        </w:rPr>
        <w:t>[20]</w:t>
      </w:r>
      <w:r>
        <w:fldChar w:fldCharType="end"/>
      </w:r>
      <w:r>
        <w:rPr>
          <w:color w:val="000000" w:themeColor="text1"/>
          <w14:textFill>
            <w14:solidFill>
              <w14:schemeClr w14:val="tx1"/>
            </w14:solidFill>
          </w14:textFill>
        </w:rPr>
        <w:t xml:space="preserve"> and instruction backtranslation</w:t>
      </w:r>
      <w:r>
        <w:rPr>
          <w:rFonts w:hint="eastAsia" w:eastAsia="宋体"/>
          <w:color w:val="000000" w:themeColor="text1"/>
          <w:lang w:eastAsia="zh-CN"/>
          <w14:textFill>
            <w14:solidFill>
              <w14:schemeClr w14:val="tx1"/>
            </w14:solidFill>
          </w14:textFill>
        </w:rPr>
        <w:t xml:space="preserve"> </w:t>
      </w:r>
      <w:r>
        <w:fldChar w:fldCharType="begin"/>
      </w:r>
      <w:r>
        <w:instrText xml:space="preserve">HYPERLINK \l "ref_26" \h</w:instrText>
      </w:r>
      <w:r>
        <w:fldChar w:fldCharType="separate"/>
      </w:r>
      <w:r>
        <w:rPr>
          <w:color w:val="000000" w:themeColor="text1"/>
          <w14:textFill>
            <w14:solidFill>
              <w14:schemeClr w14:val="tx1"/>
            </w14:solidFill>
          </w14:textFill>
        </w:rPr>
        <w:t>[26]</w:t>
      </w:r>
      <w:r>
        <w:fldChar w:fldCharType="end"/>
      </w:r>
      <w:r>
        <w:rPr>
          <w:color w:val="000000" w:themeColor="text1"/>
          <w14:textFill>
            <w14:solidFill>
              <w14:schemeClr w14:val="tx1"/>
            </w14:solidFill>
          </w14:textFill>
        </w:rPr>
        <w:t xml:space="preserve"> further reduce human effort. A systematic comparison of 12 instruction datasets </w:t>
      </w:r>
      <w:r>
        <w:fldChar w:fldCharType="begin"/>
      </w:r>
      <w:r>
        <w:instrText xml:space="preserve"> HYPERLINK \l "ref_47" \h </w:instrText>
      </w:r>
      <w:r>
        <w:fldChar w:fldCharType="separate"/>
      </w:r>
      <w:r>
        <w:rPr>
          <w:color w:val="000000" w:themeColor="text1"/>
          <w14:textFill>
            <w14:solidFill>
              <w14:schemeClr w14:val="tx1"/>
            </w14:solidFill>
          </w14:textFill>
        </w:rPr>
        <w:t>[47]</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shows that no single source dominates across all evaluations.</w:t>
      </w:r>
    </w:p>
    <w:p w14:paraId="2F83BE76">
      <w:pPr>
        <w:rPr>
          <w:color w:val="000000" w:themeColor="text1"/>
          <w14:textFill>
            <w14:solidFill>
              <w14:schemeClr w14:val="tx1"/>
            </w14:solidFill>
          </w14:textFill>
        </w:rPr>
      </w:pPr>
      <w:r>
        <w:rPr>
          <w:color w:val="000000" w:themeColor="text1"/>
          <w14:textFill>
            <w14:solidFill>
              <w14:schemeClr w14:val="tx1"/>
            </w14:solidFill>
          </w14:textFill>
        </w:rPr>
        <w:t xml:space="preserve">Recent studies on data quality challenge the assumption that larger datasets are always better. LIMA </w:t>
      </w:r>
      <w:r>
        <w:fldChar w:fldCharType="begin"/>
      </w:r>
      <w:r>
        <w:instrText xml:space="preserve"> HYPERLINK \l "ref_64" \h </w:instrText>
      </w:r>
      <w:r>
        <w:fldChar w:fldCharType="separate"/>
      </w:r>
      <w:r>
        <w:rPr>
          <w:color w:val="000000" w:themeColor="text1"/>
          <w14:textFill>
            <w14:solidFill>
              <w14:schemeClr w14:val="tx1"/>
            </w14:solidFill>
          </w14:textFill>
        </w:rPr>
        <w:t>[64]</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shows that 1,000 carefully curated examples can match models trained on orders of magnitude more data. AlpaGasus </w:t>
      </w:r>
      <w:r>
        <w:fldChar w:fldCharType="begin"/>
      </w:r>
      <w:r>
        <w:instrText xml:space="preserve"> HYPERLINK \l "ref_5" \h </w:instrText>
      </w:r>
      <w: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filters low-quality instructions to improve performance, and Liu et al. </w:t>
      </w:r>
      <w:r>
        <w:fldChar w:fldCharType="begin"/>
      </w:r>
      <w:r>
        <w:instrText xml:space="preserve"> HYPERLINK \l "ref_28" \h </w:instrText>
      </w:r>
      <w:r>
        <w:fldChar w:fldCharType="separate"/>
      </w:r>
      <w:r>
        <w:rPr>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provide a comprehensive study of automatic data selection for instruction tuning.</w:t>
      </w:r>
    </w:p>
    <w:p w14:paraId="6C2E7F32">
      <w:r>
        <w:rPr>
          <w:rFonts w:hint="eastAsia" w:eastAsia="宋体"/>
          <w:lang w:eastAsia="zh-CN"/>
        </w:rPr>
        <w:t>Therefore,</w:t>
      </w:r>
      <w:r>
        <w:t xml:space="preserve"> existing methods focus on open-domain linguistic diversity, task coverage, and reasoning complexity. Instruction generation is typically treated as an end-to-end process, producing outputs directly from prompts without explicit, structured mappings to source documents. Consequently, intermediate artifacts and source-level constraints are not modeled within the generation workflow. The absence of provenance metadata and traceability guarantees limits their applicability in regulated domains like ESG, where auditability is critical.</w:t>
      </w:r>
    </w:p>
    <w:p w14:paraId="4ED28232">
      <w:pPr>
        <w:pStyle w:val="182"/>
        <w:rPr>
          <w:color w:val="000000" w:themeColor="text1"/>
          <w14:textFill>
            <w14:solidFill>
              <w14:schemeClr w14:val="tx1"/>
            </w14:solidFill>
          </w14:textFill>
        </w:rPr>
      </w:pPr>
      <w:r>
        <w:rPr>
          <w:rFonts w:hint="eastAsia"/>
          <w:color w:val="000000" w:themeColor="text1"/>
          <w14:textFill>
            <w14:solidFill>
              <w14:schemeClr w14:val="tx1"/>
            </w14:solidFill>
          </w14:textFill>
        </w:rPr>
        <w:t>6</w:t>
      </w:r>
      <w:r>
        <w:rPr>
          <w:color w:val="000000" w:themeColor="text1"/>
          <w14:textFill>
            <w14:solidFill>
              <w14:schemeClr w14:val="tx1"/>
            </w14:solidFill>
          </w14:textFill>
        </w:rPr>
        <w:t>.2 Domain-Specific Large Language Models</w:t>
      </w:r>
    </w:p>
    <w:p w14:paraId="28E4DB66">
      <w:pPr>
        <w:rPr>
          <w:rFonts w:eastAsia="宋体"/>
          <w:color w:val="000000" w:themeColor="text1"/>
          <w:lang w:eastAsia="zh-CN"/>
          <w14:textFill>
            <w14:solidFill>
              <w14:schemeClr w14:val="tx1"/>
            </w14:solidFill>
          </w14:textFill>
        </w:rPr>
      </w:pPr>
      <w:r>
        <w:rPr>
          <w:rFonts w:eastAsia="宋体"/>
          <w:color w:val="000000" w:themeColor="text1"/>
          <w:lang w:eastAsia="zh-CN"/>
          <w14:textFill>
            <w14:solidFill>
              <w14:schemeClr w14:val="tx1"/>
            </w14:solidFill>
          </w14:textFill>
        </w:rPr>
        <w:t xml:space="preserve">Adapting LLMs to specialized domains has received growing attention, particularly in finance and sustainability </w:t>
      </w:r>
      <w:r>
        <w:fldChar w:fldCharType="begin"/>
      </w:r>
      <w:r>
        <w:instrText xml:space="preserve"> HYPERLINK \l "ref_60" \h </w:instrText>
      </w:r>
      <w:r>
        <w:fldChar w:fldCharType="separate"/>
      </w:r>
      <w:r>
        <w:rPr>
          <w:color w:val="000000" w:themeColor="text1"/>
          <w14:textFill>
            <w14:solidFill>
              <w14:schemeClr w14:val="tx1"/>
            </w14:solidFill>
          </w14:textFill>
        </w:rPr>
        <w:t>[60]</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BloombergGPT </w:t>
      </w:r>
      <w:r>
        <w:fldChar w:fldCharType="begin"/>
      </w:r>
      <w:r>
        <w:instrText xml:space="preserve">HYPERLINK \l "ref_53" \h</w:instrText>
      </w:r>
      <w:r>
        <w:fldChar w:fldCharType="separate"/>
      </w:r>
      <w:r>
        <w:rPr>
          <w:color w:val="000000" w:themeColor="text1"/>
          <w14:textFill>
            <w14:solidFill>
              <w14:schemeClr w14:val="tx1"/>
            </w14:solidFill>
          </w14:textFill>
        </w:rPr>
        <w:t>[53]</w:t>
      </w:r>
      <w:r>
        <w:fldChar w:fldCharType="end"/>
      </w:r>
      <w:r>
        <w:rPr>
          <w:rFonts w:eastAsia="宋体"/>
          <w:color w:val="000000" w:themeColor="text1"/>
          <w:lang w:eastAsia="zh-CN"/>
          <w14:textFill>
            <w14:solidFill>
              <w14:schemeClr w14:val="tx1"/>
            </w14:solidFill>
          </w14:textFill>
        </w:rPr>
        <w:t xml:space="preserve"> is trained on large-scale proprietary financial corpora, while FinGPT </w:t>
      </w:r>
      <w:r>
        <w:fldChar w:fldCharType="begin"/>
      </w:r>
      <w:r>
        <w:instrText xml:space="preserve"> HYPERLINK \l "ref_59" \h </w:instrText>
      </w:r>
      <w:r>
        <w:fldChar w:fldCharType="separate"/>
      </w:r>
      <w:r>
        <w:rPr>
          <w:color w:val="000000" w:themeColor="text1"/>
          <w14:textFill>
            <w14:solidFill>
              <w14:schemeClr w14:val="tx1"/>
            </w14:solidFill>
          </w14:textFill>
        </w:rPr>
        <w:t>[59]</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provides open-source data pipelines and lightweight adaptation (e.g., LoRA). PIXIU </w:t>
      </w:r>
      <w:r>
        <w:fldChar w:fldCharType="begin"/>
      </w:r>
      <w:r>
        <w:instrText xml:space="preserve"> HYPERLINK \l "ref_55" \h </w:instrText>
      </w:r>
      <w:r>
        <w:fldChar w:fldCharType="separate"/>
      </w:r>
      <w:r>
        <w:rPr>
          <w:color w:val="000000" w:themeColor="text1"/>
          <w14:textFill>
            <w14:solidFill>
              <w14:schemeClr w14:val="tx1"/>
            </w14:solidFill>
          </w14:textFill>
        </w:rPr>
        <w:t>[55]</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w:t>
      </w:r>
      <w:r>
        <w:rPr>
          <w:rFonts w:eastAsia="宋体"/>
          <w:color w:val="000000" w:themeColor="text1"/>
          <w:lang w:eastAsia="zh-CN"/>
          <w14:textFill>
            <w14:solidFill>
              <w14:schemeClr w14:val="tx1"/>
            </w14:solidFill>
          </w14:textFill>
        </w:rPr>
        <w:t xml:space="preserve">offers a comprehensive framework including a financial instruction dataset (136K samples), a fine-tuned model (FinMA), and a benchmark covering five tasks. FinBERT </w:t>
      </w:r>
      <w:r>
        <w:fldChar w:fldCharType="begin"/>
      </w:r>
      <w:r>
        <w:instrText xml:space="preserve"> HYPERLINK \l "ref_21" \h </w:instrText>
      </w:r>
      <w: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extracts structured information from financial text.</w:t>
      </w:r>
    </w:p>
    <w:p w14:paraId="6EC1A288">
      <w:pPr>
        <w:rPr>
          <w:rFonts w:eastAsia="宋体"/>
          <w:color w:val="000000" w:themeColor="text1"/>
          <w:lang w:eastAsia="zh-CN"/>
          <w14:textFill>
            <w14:solidFill>
              <w14:schemeClr w14:val="tx1"/>
            </w14:solidFill>
          </w14:textFill>
        </w:rPr>
      </w:pPr>
      <w:r>
        <w:rPr>
          <w:rFonts w:eastAsia="宋体"/>
          <w:color w:val="000000" w:themeColor="text1"/>
          <w:lang w:eastAsia="zh-CN"/>
          <w14:textFill>
            <w14:solidFill>
              <w14:schemeClr w14:val="tx1"/>
            </w14:solidFill>
          </w14:textFill>
        </w:rPr>
        <w:t xml:space="preserve">For climate and sustainability, ClimateBERT </w:t>
      </w:r>
      <w:r>
        <w:fldChar w:fldCharType="begin"/>
      </w:r>
      <w:r>
        <w:instrText xml:space="preserve">HYPERLINK \l "ref_49" \h</w:instrText>
      </w:r>
      <w:r>
        <w:fldChar w:fldCharType="separate"/>
      </w:r>
      <w:r>
        <w:rPr>
          <w:color w:val="000000" w:themeColor="text1"/>
          <w14:textFill>
            <w14:solidFill>
              <w14:schemeClr w14:val="tx1"/>
            </w14:solidFill>
          </w14:textFill>
        </w:rPr>
        <w:t>[49]</w:t>
      </w:r>
      <w:r>
        <w:fldChar w:fldCharType="end"/>
      </w:r>
      <w:r>
        <w:rPr>
          <w:rFonts w:eastAsia="宋体"/>
          <w:color w:val="000000" w:themeColor="text1"/>
          <w:lang w:eastAsia="zh-CN"/>
          <w14:textFill>
            <w14:solidFill>
              <w14:schemeClr w14:val="tx1"/>
            </w14:solidFill>
          </w14:textFill>
        </w:rPr>
        <w:t xml:space="preserve"> fine-tunes pre-trained models for climate-related text understanding and has been applied to analyze corporate climate risk disclosures</w:t>
      </w:r>
      <w:r>
        <w:rPr>
          <w:color w:val="000000" w:themeColor="text1"/>
          <w14:textFill>
            <w14:solidFill>
              <w14:schemeClr w14:val="tx1"/>
            </w14:solidFill>
          </w14:textFill>
        </w:rPr>
        <w:t xml:space="preserve"> </w:t>
      </w:r>
      <w:r>
        <w:fldChar w:fldCharType="begin"/>
      </w:r>
      <w:r>
        <w:instrText xml:space="preserve"> HYPERLINK \l "ref_2" \h </w:instrText>
      </w:r>
      <w: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Kölbel et al.</w:t>
      </w:r>
      <w:r>
        <w:t xml:space="preserve"> </w:t>
      </w:r>
      <w:r>
        <w:fldChar w:fldCharType="begin"/>
      </w:r>
      <w:r>
        <w:instrText xml:space="preserve"> HYPERLINK \l "ref_23" \h </w:instrText>
      </w:r>
      <w: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use BERT-based models to study how regulatory disclosure of climate risks affects credit default swap term structures. Friederich et al. </w:t>
      </w:r>
      <w:r>
        <w:fldChar w:fldCharType="begin"/>
      </w:r>
      <w:r>
        <w:instrText xml:space="preserve"> HYPERLINK \l "ref_14" \h </w:instrText>
      </w:r>
      <w: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automate identification of climate risk disclosures in annual reports, while ClimaText</w:t>
      </w:r>
      <w:r>
        <w:rPr>
          <w:color w:val="000000" w:themeColor="text1"/>
          <w14:textFill>
            <w14:solidFill>
              <w14:schemeClr w14:val="tx1"/>
            </w14:solidFill>
          </w14:textFill>
        </w:rPr>
        <w:t xml:space="preserve"> </w:t>
      </w:r>
      <w:r>
        <w:fldChar w:fldCharType="begin"/>
      </w:r>
      <w:r>
        <w:instrText xml:space="preserve"> HYPERLINK \l "ref_45" \h </w:instrText>
      </w:r>
      <w:r>
        <w:fldChar w:fldCharType="separate"/>
      </w:r>
      <w:r>
        <w:rPr>
          <w:color w:val="000000" w:themeColor="text1"/>
          <w14:textFill>
            <w14:solidFill>
              <w14:schemeClr w14:val="tx1"/>
            </w14:solidFill>
          </w14:textFill>
        </w:rPr>
        <w:t>[45]</w:t>
      </w:r>
      <w:r>
        <w:rPr>
          <w:color w:val="000000" w:themeColor="text1"/>
          <w14:textFill>
            <w14:solidFill>
              <w14:schemeClr w14:val="tx1"/>
            </w14:solidFill>
          </w14:textFill>
        </w:rPr>
        <w:fldChar w:fldCharType="end"/>
      </w:r>
      <w:r>
        <w:rPr>
          <w:rFonts w:hint="eastAsia"/>
        </w:rPr>
        <w:t xml:space="preserve"> </w:t>
      </w:r>
      <w:r>
        <w:rPr>
          <w:rFonts w:eastAsia="宋体"/>
          <w:color w:val="000000" w:themeColor="text1"/>
          <w:lang w:eastAsia="zh-CN"/>
          <w14:textFill>
            <w14:solidFill>
              <w14:schemeClr w14:val="tx1"/>
            </w14:solidFill>
          </w14:textFill>
        </w:rPr>
        <w:t>provides a dataset for climate change topic detection. Luccioni et al.</w:t>
      </w:r>
      <w:r>
        <w:t xml:space="preserve"> </w:t>
      </w:r>
      <w:r>
        <w:fldChar w:fldCharType="begin"/>
      </w:r>
      <w:r>
        <w:instrText xml:space="preserve"> HYPERLINK \l "ref_29" \h </w:instrText>
      </w:r>
      <w:r>
        <w:fldChar w:fldCharType="separate"/>
      </w:r>
      <w:r>
        <w:rPr>
          <w:color w:val="000000" w:themeColor="text1"/>
          <w14:textFill>
            <w14:solidFill>
              <w14:schemeClr w14:val="tx1"/>
            </w14:solidFill>
          </w14:textFill>
        </w:rPr>
        <w:t>[29]</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estimate the carbon footprint of training BLOOM, linking LLM research to environmental sustainability.</w:t>
      </w:r>
    </w:p>
    <w:p w14:paraId="21EAF4E2">
      <w:pPr>
        <w:pStyle w:val="168"/>
        <w:rPr>
          <w:color w:val="000000" w:themeColor="text1"/>
          <w14:textFill>
            <w14:solidFill>
              <w14:schemeClr w14:val="tx1"/>
            </w14:solidFill>
          </w14:textFill>
        </w:rPr>
      </w:pPr>
      <w:r>
        <w:rPr>
          <w:rFonts w:hint="eastAsia" w:eastAsia="宋体"/>
          <w:color w:val="000000" w:themeColor="text1"/>
          <w:lang w:eastAsia="zh-CN"/>
          <w14:textFill>
            <w14:solidFill>
              <w14:schemeClr w14:val="tx1"/>
            </w14:solidFill>
          </w14:textFill>
        </w:rPr>
        <w:t>6</w:t>
      </w:r>
      <w:r>
        <w:rPr>
          <w:color w:val="000000" w:themeColor="text1"/>
          <w14:textFill>
            <w14:solidFill>
              <w14:schemeClr w14:val="tx1"/>
            </w14:solidFill>
          </w14:textFill>
        </w:rPr>
        <w:t>.3 Data Provenance, Quality, and Traceability</w:t>
      </w:r>
    </w:p>
    <w:p w14:paraId="4DC15319">
      <w:pPr>
        <w:rPr>
          <w:color w:val="000000" w:themeColor="text1"/>
          <w14:textFill>
            <w14:solidFill>
              <w14:schemeClr w14:val="tx1"/>
            </w14:solidFill>
          </w14:textFill>
        </w:rPr>
      </w:pPr>
      <w:r>
        <w:rPr>
          <w:color w:val="000000" w:themeColor="text1"/>
          <w14:textFill>
            <w14:solidFill>
              <w14:schemeClr w14:val="tx1"/>
            </w14:solidFill>
          </w14:textFill>
        </w:rPr>
        <w:t xml:space="preserve">The concept of data provenance, which involves the tracking of the origin, transformation, and lineage of data, has a long history in the field of database research. Seminal work by Buneman et al. </w:t>
      </w:r>
      <w:r>
        <w:fldChar w:fldCharType="begin"/>
      </w:r>
      <w:r>
        <w:instrText xml:space="preserve"> HYPERLINK \l "ref_4" \h </w:instrText>
      </w:r>
      <w: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characterizes the "why" and "where" dimensions of data provenance</w:t>
      </w:r>
      <w:r>
        <w:rPr>
          <w:rFonts w:hint="eastAsia" w:eastAsia="宋体"/>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 Green et al. </w:t>
      </w:r>
      <w:r>
        <w:fldChar w:fldCharType="begin"/>
      </w:r>
      <w:r>
        <w:instrText xml:space="preserve"> HYPERLINK \l "ref_17" \h </w:instrText>
      </w:r>
      <w: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formalize provenance using semiring annotations. Davidson and Freire </w:t>
      </w:r>
      <w:r>
        <w:fldChar w:fldCharType="begin"/>
      </w:r>
      <w:r>
        <w:instrText xml:space="preserve"> HYPERLINK \l "ref_11" \h </w:instrText>
      </w:r>
      <w: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survey provenance challenges in scientific workflows, while Cui et al. </w:t>
      </w:r>
      <w:r>
        <w:fldChar w:fldCharType="begin"/>
      </w:r>
      <w:r>
        <w:instrText xml:space="preserve"> HYPERLINK \l "ref_10" \h </w:instrText>
      </w:r>
      <w: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address lineage tracing in data warehousing environments. Cheney et al. </w:t>
      </w:r>
      <w:r>
        <w:fldChar w:fldCharType="begin"/>
      </w:r>
      <w:r>
        <w:instrText xml:space="preserve"> HYPERLINK \l "ref_7" \h </w:instrText>
      </w:r>
      <w: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provide a comprehensive treatment of provenance in databases covering foundational theory and practical considerations. </w:t>
      </w:r>
      <w:r>
        <w:rPr>
          <w:rFonts w:eastAsia="宋体"/>
          <w:color w:val="000000" w:themeColor="text1"/>
          <w:lang w:eastAsia="zh-CN"/>
          <w14:textFill>
            <w14:solidFill>
              <w14:schemeClr w14:val="tx1"/>
            </w14:solidFill>
          </w14:textFill>
        </w:rPr>
        <w:t>M</w:t>
      </w:r>
      <w:r>
        <w:rPr>
          <w:rFonts w:hint="eastAsia" w:eastAsia="宋体"/>
          <w:color w:val="000000" w:themeColor="text1"/>
          <w:lang w:eastAsia="zh-CN"/>
          <w14:textFill>
            <w14:solidFill>
              <w14:schemeClr w14:val="tx1"/>
            </w14:solidFill>
          </w14:textFill>
        </w:rPr>
        <w:t>oreover,</w:t>
      </w:r>
      <w:r>
        <w:rPr>
          <w:color w:val="000000" w:themeColor="text1"/>
          <w14:textFill>
            <w14:solidFill>
              <w14:schemeClr w14:val="tx1"/>
            </w14:solidFill>
          </w14:textFill>
        </w:rPr>
        <w:t xml:space="preserve"> Herschel et al. </w:t>
      </w:r>
      <w:r>
        <w:fldChar w:fldCharType="begin"/>
      </w:r>
      <w:r>
        <w:instrText xml:space="preserve"> HYPERLINK \l "ref_18" \h </w:instrText>
      </w:r>
      <w: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offer a modern survey categorizing provenance by purpose, representation, and source.</w:t>
      </w:r>
    </w:p>
    <w:p w14:paraId="0B59C3F4">
      <w:pPr>
        <w:rPr>
          <w:rFonts w:eastAsia="宋体"/>
          <w:color w:val="000000" w:themeColor="text1"/>
          <w:lang w:eastAsia="zh-CN"/>
          <w14:textFill>
            <w14:solidFill>
              <w14:schemeClr w14:val="tx1"/>
            </w14:solidFill>
          </w14:textFill>
        </w:rPr>
      </w:pPr>
      <w:r>
        <w:rPr>
          <w:rFonts w:eastAsia="宋体"/>
          <w:color w:val="000000" w:themeColor="text1"/>
          <w:lang w:eastAsia="zh-CN"/>
          <w14:textFill>
            <w14:solidFill>
              <w14:schemeClr w14:val="tx1"/>
            </w14:solidFill>
          </w14:textFill>
        </w:rPr>
        <w:t xml:space="preserve">Data quality research complements provenance. Rahm and Do </w:t>
      </w:r>
      <w:r>
        <w:fldChar w:fldCharType="begin"/>
      </w:r>
      <w:r>
        <w:instrText xml:space="preserve"> HYPERLINK \l "ref_37" \h </w:instrText>
      </w:r>
      <w:r>
        <w:fldChar w:fldCharType="separate"/>
      </w:r>
      <w:r>
        <w:rPr>
          <w:color w:val="000000" w:themeColor="text1"/>
          <w14:textFill>
            <w14:solidFill>
              <w14:schemeClr w14:val="tx1"/>
            </w14:solidFill>
          </w14:textFill>
        </w:rPr>
        <w:t>[37]</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provide an early taxonomy of data cleaning; Chu et al.</w:t>
      </w:r>
      <w:r>
        <w:t xml:space="preserve"> </w:t>
      </w:r>
      <w:r>
        <w:fldChar w:fldCharType="begin"/>
      </w:r>
      <w:r>
        <w:instrText xml:space="preserve"> HYPERLINK \l "ref_9" \h </w:instrText>
      </w:r>
      <w: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survey emerging challenges. Ilyas and Chu</w:t>
      </w:r>
      <w:r>
        <w:rPr>
          <w:color w:val="000000" w:themeColor="text1"/>
          <w14:textFill>
            <w14:solidFill>
              <w14:schemeClr w14:val="tx1"/>
            </w14:solidFill>
          </w14:textFill>
        </w:rPr>
        <w:t xml:space="preserve"> </w:t>
      </w:r>
      <w:r>
        <w:fldChar w:fldCharType="begin"/>
      </w:r>
      <w:r>
        <w:instrText xml:space="preserve"> HYPERLINK \l "ref_22" \h </w:instrText>
      </w:r>
      <w: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give a textbook treatment, and HoloClean</w:t>
      </w:r>
      <w:r>
        <w:rPr>
          <w:color w:val="000000" w:themeColor="text1"/>
          <w14:textFill>
            <w14:solidFill>
              <w14:schemeClr w14:val="tx1"/>
            </w14:solidFill>
          </w14:textFill>
        </w:rPr>
        <w:t xml:space="preserve"> </w:t>
      </w:r>
      <w:r>
        <w:fldChar w:fldCharType="begin"/>
      </w:r>
      <w:r>
        <w:instrText xml:space="preserve"> HYPERLINK \l "ref_38" \h </w:instrText>
      </w:r>
      <w:r>
        <w:fldChar w:fldCharType="separate"/>
      </w:r>
      <w:r>
        <w:rPr>
          <w:color w:val="000000" w:themeColor="text1"/>
          <w14:textFill>
            <w14:solidFill>
              <w14:schemeClr w14:val="tx1"/>
            </w14:solidFill>
          </w14:textFill>
        </w:rPr>
        <w:t>[38]</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uses probabilistic inference for holistic data repair. In data-centric AI, Whang et al.</w:t>
      </w:r>
      <w:r>
        <w:rPr>
          <w:color w:val="000000" w:themeColor="text1"/>
          <w14:textFill>
            <w14:solidFill>
              <w14:schemeClr w14:val="tx1"/>
            </w14:solidFill>
          </w14:textFill>
        </w:rPr>
        <w:t xml:space="preserve"> </w:t>
      </w:r>
      <w:r>
        <w:fldChar w:fldCharType="begin"/>
      </w:r>
      <w:r>
        <w:instrText xml:space="preserve"> HYPERLINK \l "ref_52" \h </w:instrText>
      </w:r>
      <w:r>
        <w:fldChar w:fldCharType="separate"/>
      </w:r>
      <w:r>
        <w:rPr>
          <w:color w:val="000000" w:themeColor="text1"/>
          <w14:textFill>
            <w14:solidFill>
              <w14:schemeClr w14:val="tx1"/>
            </w14:solidFill>
          </w14:textFill>
        </w:rPr>
        <w:t>[52]</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argue that data quality management must be integrated throughout the ML pipeline, not treated as a preprocessing step.</w:t>
      </w:r>
    </w:p>
    <w:p w14:paraId="0DBF2ADB">
      <w:pPr>
        <w:rPr>
          <w:rFonts w:eastAsia="宋体"/>
          <w:color w:val="000000" w:themeColor="text1"/>
          <w:lang w:eastAsia="zh-CN"/>
          <w14:textFill>
            <w14:solidFill>
              <w14:schemeClr w14:val="tx1"/>
            </w14:solidFill>
          </w14:textFill>
        </w:rPr>
      </w:pPr>
      <w:r>
        <w:rPr>
          <w:rFonts w:eastAsia="宋体"/>
          <w:color w:val="000000" w:themeColor="text1"/>
          <w:lang w:eastAsia="zh-CN"/>
          <w14:textFill>
            <w14:solidFill>
              <w14:schemeClr w14:val="tx1"/>
            </w14:solidFill>
          </w14:textFill>
        </w:rPr>
        <w:t xml:space="preserve">For machine learning pipelines, Polyzotis et al. </w:t>
      </w:r>
      <w:r>
        <w:fldChar w:fldCharType="begin"/>
      </w:r>
      <w:r>
        <w:instrText xml:space="preserve"> HYPERLINK \l "ref_35" \h </w:instrText>
      </w:r>
      <w:r>
        <w:fldChar w:fldCharType="separate"/>
      </w:r>
      <w:r>
        <w:rPr>
          <w:color w:val="000000" w:themeColor="text1"/>
          <w14:textFill>
            <w14:solidFill>
              <w14:schemeClr w14:val="tx1"/>
            </w14:solidFill>
          </w14:textFill>
        </w:rPr>
        <w:t>[35]</w:t>
      </w:r>
      <w:r>
        <w:rPr>
          <w:color w:val="000000" w:themeColor="text1"/>
          <w14:textFill>
            <w14:solidFill>
              <w14:schemeClr w14:val="tx1"/>
            </w14:solidFill>
          </w14:textFill>
        </w:rPr>
        <w:fldChar w:fldCharType="end"/>
      </w:r>
      <w:r>
        <w:rPr>
          <w:rFonts w:hint="eastAsia"/>
        </w:rPr>
        <w:t xml:space="preserve"> </w:t>
      </w:r>
      <w:r>
        <w:rPr>
          <w:rFonts w:eastAsia="宋体"/>
          <w:color w:val="000000" w:themeColor="text1"/>
          <w:lang w:eastAsia="zh-CN"/>
          <w14:textFill>
            <w14:solidFill>
              <w14:schemeClr w14:val="tx1"/>
            </w14:solidFill>
          </w14:textFill>
        </w:rPr>
        <w:t>identify data management challenges in production ML systems, and Doan and Halevy</w:t>
      </w:r>
      <w:r>
        <w:rPr>
          <w:rFonts w:hint="eastAsia" w:eastAsia="宋体"/>
          <w:color w:val="000000" w:themeColor="text1"/>
          <w:lang w:eastAsia="zh-CN"/>
          <w14:textFill>
            <w14:solidFill>
              <w14:schemeClr w14:val="tx1"/>
            </w14:solidFill>
          </w14:textFill>
        </w:rPr>
        <w:t xml:space="preserve"> </w:t>
      </w:r>
      <w:r>
        <w:fldChar w:fldCharType="begin"/>
      </w:r>
      <w:r>
        <w:instrText xml:space="preserve"> HYPERLINK \l "ref_12" \h </w:instrText>
      </w:r>
      <w: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w:t>
      </w:r>
      <w:r>
        <w:rPr>
          <w:rFonts w:eastAsia="宋体"/>
          <w:color w:val="000000" w:themeColor="text1"/>
          <w:lang w:eastAsia="zh-CN"/>
          <w14:textFill>
            <w14:solidFill>
              <w14:schemeClr w14:val="tx1"/>
            </w14:solidFill>
          </w14:textFill>
        </w:rPr>
        <w:t xml:space="preserve">highlight semantic integration issues. Tools for automatically tracking ML experiment metadata and provenance have been developed </w:t>
      </w:r>
      <w:r>
        <w:fldChar w:fldCharType="begin"/>
      </w:r>
      <w:r>
        <w:instrText xml:space="preserve"> HYPERLINK \l "ref_40" \h </w:instrText>
      </w:r>
      <w:r>
        <w:fldChar w:fldCharType="separate"/>
      </w:r>
      <w:r>
        <w:rPr>
          <w:color w:val="000000" w:themeColor="text1"/>
          <w14:textFill>
            <w14:solidFill>
              <w14:schemeClr w14:val="tx1"/>
            </w14:solidFill>
          </w14:textFill>
        </w:rPr>
        <w:t>[40]</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Grafberger et al. </w:t>
      </w:r>
      <w:r>
        <w:fldChar w:fldCharType="begin"/>
      </w:r>
      <w:r>
        <w:instrText xml:space="preserve"> HYPERLINK \l "ref_16" \h </w:instrText>
      </w:r>
      <w:r>
        <w:fldChar w:fldCharType="separate"/>
      </w:r>
      <w:r>
        <w:rPr>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address data distribution debugging. At the dataset level, Datasheets for Datasets </w:t>
      </w:r>
      <w:r>
        <w:fldChar w:fldCharType="begin"/>
      </w:r>
      <w:r>
        <w:instrText xml:space="preserve">HYPERLINK \l "ref_15" \h</w:instrText>
      </w:r>
      <w:r>
        <w:fldChar w:fldCharType="separate"/>
      </w:r>
      <w:r>
        <w:rPr>
          <w:color w:val="000000" w:themeColor="text1"/>
          <w14:textFill>
            <w14:solidFill>
              <w14:schemeClr w14:val="tx1"/>
            </w14:solidFill>
          </w14:textFill>
        </w:rPr>
        <w:t>[15]</w:t>
      </w:r>
      <w:r>
        <w:fldChar w:fldCharType="end"/>
      </w:r>
      <w:r>
        <w:rPr>
          <w:rFonts w:eastAsia="宋体"/>
          <w:color w:val="000000" w:themeColor="text1"/>
          <w:lang w:eastAsia="zh-CN"/>
          <w14:textFill>
            <w14:solidFill>
              <w14:schemeClr w14:val="tx1"/>
            </w14:solidFill>
          </w14:textFill>
        </w:rPr>
        <w:t xml:space="preserve">, Data Statements </w:t>
      </w:r>
      <w:r>
        <w:fldChar w:fldCharType="begin"/>
      </w:r>
      <w:r>
        <w:instrText xml:space="preserve">HYPERLINK \l "ref_1" \h</w:instrText>
      </w:r>
      <w:r>
        <w:fldChar w:fldCharType="separate"/>
      </w:r>
      <w:r>
        <w:rPr>
          <w:color w:val="000000" w:themeColor="text1"/>
          <w14:textFill>
            <w14:solidFill>
              <w14:schemeClr w14:val="tx1"/>
            </w14:solidFill>
          </w14:textFill>
        </w:rPr>
        <w:t>[1]</w:t>
      </w:r>
      <w:r>
        <w:fldChar w:fldCharType="end"/>
      </w:r>
      <w:r>
        <w:rPr>
          <w:rFonts w:eastAsia="宋体"/>
          <w:color w:val="000000" w:themeColor="text1"/>
          <w:lang w:eastAsia="zh-CN"/>
          <w14:textFill>
            <w14:solidFill>
              <w14:schemeClr w14:val="tx1"/>
            </w14:solidFill>
          </w14:textFill>
        </w:rPr>
        <w:t xml:space="preserve">, and Model Cards </w:t>
      </w:r>
      <w:r>
        <w:fldChar w:fldCharType="begin"/>
      </w:r>
      <w:r>
        <w:instrText xml:space="preserve">HYPERLINK \l "ref_30" \h</w:instrText>
      </w:r>
      <w:r>
        <w:fldChar w:fldCharType="separate"/>
      </w:r>
      <w:r>
        <w:rPr>
          <w:color w:val="000000" w:themeColor="text1"/>
          <w14:textFill>
            <w14:solidFill>
              <w14:schemeClr w14:val="tx1"/>
            </w14:solidFill>
          </w14:textFill>
        </w:rPr>
        <w:t>[30]</w:t>
      </w:r>
      <w:r>
        <w:fldChar w:fldCharType="end"/>
      </w:r>
      <w:r>
        <w:rPr>
          <w:rFonts w:eastAsia="宋体"/>
          <w:color w:val="000000" w:themeColor="text1"/>
          <w:lang w:eastAsia="zh-CN"/>
          <w14:textFill>
            <w14:solidFill>
              <w14:schemeClr w14:val="tx1"/>
            </w14:solidFill>
          </w14:textFill>
        </w:rPr>
        <w:t xml:space="preserve"> provide documentation frameworks for transparency.</w:t>
      </w:r>
    </w:p>
    <w:p w14:paraId="79DBC469">
      <w:pPr>
        <w:rPr>
          <w:rFonts w:eastAsia="宋体"/>
          <w:color w:val="000000" w:themeColor="text1"/>
          <w:lang w:eastAsia="zh-CN"/>
          <w14:textFill>
            <w14:solidFill>
              <w14:schemeClr w14:val="tx1"/>
            </w14:solidFill>
          </w14:textFill>
        </w:rPr>
      </w:pPr>
      <w:r>
        <w:rPr>
          <w:rFonts w:eastAsia="宋体"/>
          <w:color w:val="000000" w:themeColor="text1"/>
          <w:lang w:eastAsia="zh-CN"/>
          <w14:textFill>
            <w14:solidFill>
              <w14:schemeClr w14:val="tx1"/>
            </w14:solidFill>
          </w14:textFill>
        </w:rPr>
        <w:t>Our work draws on these provenance and quality foundations</w:t>
      </w:r>
      <w:r>
        <w:rPr>
          <w:rFonts w:hint="eastAsia" w:eastAsia="宋体"/>
          <w:color w:val="000000" w:themeColor="text1"/>
          <w:lang w:eastAsia="zh-CN"/>
          <w14:textFill>
            <w14:solidFill>
              <w14:schemeClr w14:val="tx1"/>
            </w14:solidFill>
          </w14:textFill>
        </w:rPr>
        <w:t xml:space="preserve"> </w:t>
      </w:r>
      <w:r>
        <w:rPr>
          <w:rFonts w:eastAsia="宋体"/>
          <w:color w:val="000000" w:themeColor="text1"/>
          <w:lang w:eastAsia="zh-CN"/>
          <w14:textFill>
            <w14:solidFill>
              <w14:schemeClr w14:val="tx1"/>
            </w14:solidFill>
          </w14:textFill>
        </w:rPr>
        <w:t>but extends them to a novel setting: tracking lineage from source ESG documents through intermediate knowledge units to final instruction-response pairs, ensuring each generated instance is auditable and traceable to its documentary origin.</w:t>
      </w:r>
    </w:p>
    <w:p w14:paraId="67AB0FE8">
      <w:pPr>
        <w:pStyle w:val="168"/>
        <w:rPr>
          <w:color w:val="000000" w:themeColor="text1"/>
          <w14:textFill>
            <w14:solidFill>
              <w14:schemeClr w14:val="tx1"/>
            </w14:solidFill>
          </w14:textFill>
        </w:rPr>
      </w:pPr>
      <w:r>
        <w:rPr>
          <w:rFonts w:hint="eastAsia" w:eastAsia="宋体"/>
          <w:color w:val="000000" w:themeColor="text1"/>
          <w:lang w:eastAsia="zh-CN"/>
          <w14:textFill>
            <w14:solidFill>
              <w14:schemeClr w14:val="tx1"/>
            </w14:solidFill>
          </w14:textFill>
        </w:rPr>
        <w:t>6</w:t>
      </w:r>
      <w:r>
        <w:rPr>
          <w:color w:val="000000" w:themeColor="text1"/>
          <w14:textFill>
            <w14:solidFill>
              <w14:schemeClr w14:val="tx1"/>
            </w14:solidFill>
          </w14:textFill>
        </w:rPr>
        <w:t>.</w:t>
      </w:r>
      <w:r>
        <w:rPr>
          <w:rFonts w:hint="eastAsia" w:eastAsia="宋体"/>
          <w:color w:val="000000" w:themeColor="text1"/>
          <w:lang w:eastAsia="zh-CN"/>
          <w14:textFill>
            <w14:solidFill>
              <w14:schemeClr w14:val="tx1"/>
            </w14:solidFill>
          </w14:textFill>
        </w:rPr>
        <w:t>4</w:t>
      </w:r>
      <w:r>
        <w:rPr>
          <w:color w:val="000000" w:themeColor="text1"/>
          <w14:textFill>
            <w14:solidFill>
              <w14:schemeClr w14:val="tx1"/>
            </w14:solidFill>
          </w14:textFill>
        </w:rPr>
        <w:t> Multi-Agent Collaboration for Data Generation</w:t>
      </w:r>
    </w:p>
    <w:p w14:paraId="288E383C">
      <w:pPr>
        <w:rPr>
          <w:color w:val="000000" w:themeColor="text1"/>
          <w14:textFill>
            <w14:solidFill>
              <w14:schemeClr w14:val="tx1"/>
            </w14:solidFill>
          </w14:textFill>
        </w:rPr>
      </w:pPr>
      <w:r>
        <w:rPr>
          <w:color w:val="000000" w:themeColor="text1"/>
          <w14:textFill>
            <w14:solidFill>
              <w14:schemeClr w14:val="tx1"/>
            </w14:solidFill>
          </w14:textFill>
        </w:rPr>
        <w:t xml:space="preserve">Recent LLM-based multi-agent systems enable multiple model instances with specialized roles to solve complex tasks. A survey by Wang et al. </w:t>
      </w:r>
      <w:r>
        <w:fldChar w:fldCharType="begin"/>
      </w:r>
      <w:r>
        <w:instrText xml:space="preserve"> HYPERLINK \l "ref_48" \h </w:instrText>
      </w:r>
      <w:r>
        <w:fldChar w:fldCharType="separate"/>
      </w:r>
      <w:r>
        <w:rPr>
          <w:color w:val="000000" w:themeColor="text1"/>
          <w14:textFill>
            <w14:solidFill>
              <w14:schemeClr w14:val="tx1"/>
            </w14:solidFill>
          </w14:textFill>
        </w:rPr>
        <w:t>[48]</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categorizes LLM-based autonomous agents along dimensions of profile, memory, planning, and action, providing a structured taxonomy for understanding agent architectures. AutoGen </w:t>
      </w:r>
      <w:r>
        <w:fldChar w:fldCharType="begin"/>
      </w:r>
      <w:r>
        <w:instrText xml:space="preserve"> HYPERLINK \l "ref_54" \h </w:instrText>
      </w:r>
      <w:r>
        <w:fldChar w:fldCharType="separate"/>
      </w:r>
      <w:r>
        <w:rPr>
          <w:color w:val="000000" w:themeColor="text1"/>
          <w14:textFill>
            <w14:solidFill>
              <w14:schemeClr w14:val="tx1"/>
            </w14:solidFill>
          </w14:textFill>
        </w:rPr>
        <w:t>[54]</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provides a general-purpose framework for multi-agent conversation, enabling flexible orchestration of LLM agents. CAMEL </w:t>
      </w:r>
      <w:r>
        <w:fldChar w:fldCharType="begin"/>
      </w:r>
      <w:r>
        <w:instrText xml:space="preserve"> HYPERLINK \l "ref_25" \h </w:instrText>
      </w:r>
      <w: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introduces a role-playing communicative agent framework that uses inception prompting to guide autonomous cooperation between agents, demonstrating the potential for scalable multi-agent data generation. MetaGPT </w:t>
      </w:r>
      <w:r>
        <w:fldChar w:fldCharType="begin"/>
      </w:r>
      <w:r>
        <w:instrText xml:space="preserve"> HYPERLINK \l "ref_19" \h </w:instrText>
      </w:r>
      <w: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assigns specialized roles (product manager, architect, engineer) within a software development workflow. Park et al. </w:t>
      </w:r>
      <w:r>
        <w:fldChar w:fldCharType="begin"/>
      </w:r>
      <w:r>
        <w:instrText xml:space="preserve"> HYPERLINK \l "ref_34" \h </w:instrText>
      </w:r>
      <w:r>
        <w:fldChar w:fldCharType="separate"/>
      </w:r>
      <w:r>
        <w:rPr>
          <w:color w:val="000000" w:themeColor="text1"/>
          <w14:textFill>
            <w14:solidFill>
              <w14:schemeClr w14:val="tx1"/>
            </w14:solidFill>
          </w14:textFill>
        </w:rPr>
        <w:t>[34]</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demonstrate </w:t>
      </w:r>
      <w:r>
        <w:rPr>
          <w:rFonts w:eastAsia="宋体"/>
          <w:color w:val="000000" w:themeColor="text1"/>
          <w:lang w:eastAsia="zh-CN"/>
          <w14:textFill>
            <w14:solidFill>
              <w14:schemeClr w14:val="tx1"/>
            </w14:solidFill>
          </w14:textFill>
        </w:rPr>
        <w:t>“</w:t>
      </w:r>
      <w:r>
        <w:rPr>
          <w:color w:val="000000" w:themeColor="text1"/>
          <w14:textFill>
            <w14:solidFill>
              <w14:schemeClr w14:val="tx1"/>
            </w14:solidFill>
          </w14:textFill>
        </w:rPr>
        <w:t>generative agents</w:t>
      </w:r>
      <w:r>
        <w:rPr>
          <w:rFonts w:eastAsia="宋体"/>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 that simulate believable human behavior. AgentVerse </w:t>
      </w:r>
      <w:r>
        <w:fldChar w:fldCharType="begin"/>
      </w:r>
      <w:r>
        <w:instrText xml:space="preserve"> HYPERLINK \l "ref_6" \h </w:instrText>
      </w:r>
      <w: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facilitates collaboration and explores emergent group behaviors. Du et al. </w:t>
      </w:r>
      <w:r>
        <w:fldChar w:fldCharType="begin"/>
      </w:r>
      <w:r>
        <w:instrText xml:space="preserve"> HYPERLINK \l "ref_13" \h </w:instrText>
      </w:r>
      <w: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show that multi-agent debate</w:t>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where agents argue and critique each other</w:t>
      </w:r>
      <w:r>
        <w:rPr>
          <w:rFonts w:hint="eastAsia" w:eastAsia="宋体"/>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 improves factuality and reasoning.</w:t>
      </w:r>
    </w:p>
    <w:p w14:paraId="7310206C">
      <w:pPr>
        <w:rPr>
          <w:color w:val="000000" w:themeColor="text1"/>
          <w14:textFill>
            <w14:solidFill>
              <w14:schemeClr w14:val="tx1"/>
            </w14:solidFill>
          </w14:textFill>
        </w:rPr>
      </w:pPr>
      <w:r>
        <w:rPr>
          <w:color w:val="000000" w:themeColor="text1"/>
          <w14:textFill>
            <w14:solidFill>
              <w14:schemeClr w14:val="tx1"/>
            </w14:solidFill>
          </w14:textFill>
        </w:rPr>
        <w:t xml:space="preserve">In parallel, prompting strategies such as Chain-of-Thought </w:t>
      </w:r>
      <w:r>
        <w:fldChar w:fldCharType="begin"/>
      </w:r>
      <w:r>
        <w:instrText xml:space="preserve"> HYPERLINK \l "ref_51" \h </w:instrText>
      </w:r>
      <w:r>
        <w:fldChar w:fldCharType="separate"/>
      </w:r>
      <w:r>
        <w:rPr>
          <w:color w:val="000000" w:themeColor="text1"/>
          <w14:textFill>
            <w14:solidFill>
              <w14:schemeClr w14:val="tx1"/>
            </w14:solidFill>
          </w14:textFill>
        </w:rPr>
        <w:t>[51]</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decompose reasoning into intermediate steps to enhance output quality at the inference level. Retrieval-augmented generation </w:t>
      </w:r>
      <w:r>
        <w:fldChar w:fldCharType="begin"/>
      </w:r>
      <w:r>
        <w:instrText xml:space="preserve"> HYPERLINK \l "ref_24" \h </w:instrText>
      </w:r>
      <w: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grounds LLM outputs in retrieved evidence, improving factual accuracy. For evaluation, LLM-as-judge approaches </w:t>
      </w:r>
      <w:r>
        <w:fldChar w:fldCharType="begin"/>
      </w:r>
      <w:r>
        <w:instrText xml:space="preserve"> HYPERLINK \l "ref_63" \h </w:instrText>
      </w:r>
      <w:r>
        <w:fldChar w:fldCharType="separate"/>
      </w:r>
      <w:r>
        <w:rPr>
          <w:color w:val="000000" w:themeColor="text1"/>
          <w14:textFill>
            <w14:solidFill>
              <w14:schemeClr w14:val="tx1"/>
            </w14:solidFill>
          </w14:textFill>
        </w:rPr>
        <w:t>[63]</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offer scalable alternatives to human evaluation, employing strong models to assess the quality of generated outputs.</w:t>
      </w:r>
    </w:p>
    <w:p w14:paraId="4CB8CC24">
      <w:pPr>
        <w:rPr>
          <w:rFonts w:eastAsia="宋体"/>
          <w:color w:val="000000" w:themeColor="text1"/>
          <w:lang w:eastAsia="zh-CN"/>
          <w14:textFill>
            <w14:solidFill>
              <w14:schemeClr w14:val="tx1"/>
            </w14:solidFill>
          </w14:textFill>
        </w:rPr>
      </w:pPr>
      <w:r>
        <w:rPr>
          <w:color w:val="000000" w:themeColor="text1"/>
          <w14:textFill>
            <w14:solidFill>
              <w14:schemeClr w14:val="tx1"/>
            </w14:solidFill>
          </w14:textFill>
        </w:rPr>
        <w:t>These multi-agent techniques primarily focus on improving reasoning or task-solving capability. The integration of multi-agent collaboration with structured workflow management, intermediate artifact control, and explicit provenance tracking within generative instruction construction remains underexplored. Bridging multi-agent LLM systems with data management practices is crucial for domains that require traceability, auditability, and compliance</w:t>
      </w:r>
      <w:r>
        <w:rPr>
          <w:rFonts w:hint="eastAsia" w:eastAsia="宋体"/>
          <w:color w:val="000000" w:themeColor="text1"/>
          <w:lang w:eastAsia="zh-CN"/>
          <w14:textFill>
            <w14:solidFill>
              <w14:schemeClr w14:val="tx1"/>
            </w14:solidFill>
          </w14:textFill>
        </w:rPr>
        <w:t>.</w:t>
      </w:r>
    </w:p>
    <w:p w14:paraId="687C531F">
      <w:pPr>
        <w:pStyle w:val="168"/>
        <w:rPr>
          <w:rFonts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t>6</w:t>
      </w:r>
      <w:r>
        <w:rPr>
          <w:color w:val="000000" w:themeColor="text1"/>
          <w14:textFill>
            <w14:solidFill>
              <w14:schemeClr w14:val="tx1"/>
            </w14:solidFill>
          </w14:textFill>
        </w:rPr>
        <w:t>.</w:t>
      </w:r>
      <w:r>
        <w:rPr>
          <w:rFonts w:hint="eastAsia" w:eastAsia="宋体"/>
          <w:color w:val="000000" w:themeColor="text1"/>
          <w:lang w:eastAsia="zh-CN"/>
          <w14:textFill>
            <w14:solidFill>
              <w14:schemeClr w14:val="tx1"/>
            </w14:solidFill>
          </w14:textFill>
        </w:rPr>
        <w:t>5</w:t>
      </w:r>
      <w:r>
        <w:rPr>
          <w:color w:val="000000" w:themeColor="text1"/>
          <w14:textFill>
            <w14:solidFill>
              <w14:schemeClr w14:val="tx1"/>
            </w14:solidFill>
          </w14:textFill>
        </w:rPr>
        <w:t>  Summary and Positioning</w:t>
      </w:r>
    </w:p>
    <w:p w14:paraId="048DC87F">
      <w:pPr>
        <w:rPr>
          <w:color w:val="000000" w:themeColor="text1"/>
          <w14:textFill>
            <w14:solidFill>
              <w14:schemeClr w14:val="tx1"/>
            </w14:solidFill>
          </w14:textFill>
        </w:rPr>
      </w:pPr>
      <w:r>
        <w:rPr>
          <w:color w:val="000000" w:themeColor="text1"/>
          <w14:textFill>
            <w14:solidFill>
              <w14:schemeClr w14:val="tx1"/>
            </w14:solidFill>
          </w14:textFill>
        </w:rPr>
        <w:t>To summarize, existing approaches suffer from four key limitations: (1) absence of provenance metadata linking instructions to source documents; (2) lack of domain-specific instruction datasets built with regulatory compliance in mind; (3) provenance and quality techniques not embedded into LLM data generation pipelines; and (4) multi-agent systems disconnected from workflow-level artifact management.</w:t>
      </w:r>
    </w:p>
    <w:p w14:paraId="48FE73B8">
      <w:pPr>
        <w:pStyle w:val="169"/>
      </w:pPr>
      <w:r>
        <w:rPr>
          <w:rFonts w:hint="eastAsia" w:eastAsia="宋体"/>
          <w:lang w:eastAsia="zh-CN"/>
        </w:rPr>
        <w:t>7</w:t>
      </w:r>
      <w:r>
        <w:t> CONCLUSION AND FUTURE WORK</w:t>
      </w:r>
    </w:p>
    <w:p w14:paraId="64AA36C1">
      <w:r>
        <w:t>We presented VeritasCarbon, a provenance-aware system for generating instruction-tuning data for ESG and carbon-accounting tasks. The system combines corpus processing, layered expert selection, multi-expert collaboration, MetaExpert-guided refinement, and explicit source mapping into a single reproducible data pipeline.</w:t>
      </w:r>
    </w:p>
    <w:p w14:paraId="71036CF1">
      <w:r>
        <w:rPr/>
        <w:t>Our updated evaluation shows that CoDE substantially outperforms Direct Prompting, Self-Instruct, and WizardLM-Evol under the finalized protocol. On a 2,000-pair evaluation subset, CoDE achieves 4.0x higher ROUGE-L, 4.6x higher BLEU-4, 10.5x higher Distinct-3, and 14.6x higher domain relevance than the strongest baselines, while maintaining FactCheck of 0.9478 and near-perfect structural completeness.</w:t>
      </w:r>
    </w:p>
    <w:p w14:paraId="2B7749CC">
      <w:r>
        <w:rPr/>
        <w:t>The VeritasCarbon-ESG-35K dataset demonstrates that domain-specific instruction construction benefits from workflow control and provenance preservation, not only from larger models or more elaborate prompts. The finalized ablations further show that K = 3 is the best quality-cost setting, collaboration improves quality over isolated experts, and feedback remains necessary for viable CoDE generation. Future work includes downstream fine-tuning experiments, stronger learned quality evaluators, cross-document lineage tracking, and multilingual ESG extensions.</w:t>
      </w:r>
      <m:oMath>
        <m:r>
          <m:rPr/>
          <w:rPr>
            <w:rFonts w:ascii="Cambria Math" w:hAnsi="Cambria Math"/>
          </w:rPr>
          <m:t>K</m:t>
        </m:r>
      </m:oMath>
      <w:r/>
    </w:p>
    <w:p>
      <w:pPr>
        <w:spacing w:before="360" w:after="240"/>
        <w:jc w:val="center"/>
      </w:pPr>
      <w:r>
        <w:rPr>
          <w:b/>
          <w:sz w:val="28"/>
        </w:rPr>
        <w:t>APPENDIX</w:t>
      </w:r>
    </w:p>
    <w:p>
      <w:pPr>
        <w:pStyle w:val="Normal"/>
      </w:pPr>
    </w:p>
    <w:p>
      <w:pPr>
        <w:pStyle w:val="Heading1"/>
        <w:jc w:val="left"/>
      </w:pPr>
      <w:r>
        <w:rPr/>
        <w:t>Dataset as a Core Contribution</w:t>
      </w:r>
    </w:p>
    <w:p>
      <w:pPr>
        <w:pStyle w:val="Normal"/>
        <w:spacing w:after="160"/>
      </w:pPr>
      <w:r>
        <w:rPr/>
        <w:t xml:space="preserve">In addition to the CoDE multi-agent framework, this paper makes a substantial dataset contribution by releasing </w:t>
      </w:r>
      <w:r>
        <w:rPr>
          <w:b/>
        </w:rPr>
        <w:t>VeritasCarbon-ESG-35K</w:t>
      </w:r>
      <w:r>
        <w:rPr/>
        <w:t>, the largest publicly available traceable ESG instruction dataset to date. The dataset contains 35,009 high-quality instruction–response pairs generated from 17,721 real-world ESG disclosure documents spanning four corpus layers (domain textbooks, CSR reports, regulatory guidelines, and industry analyses). Every pair is fully traceable to its source document chunk and includes rich generation metadata (quality score, selected experts, collaboration mode, knowledge injection count), enabling fine-grained analysis of data provenance and quality.</w:t>
      </w:r>
    </w:p>
    <w:p>
      <w:pPr>
        <w:pStyle w:val="Normal"/>
        <w:spacing w:after="160"/>
      </w:pPr>
      <w:r>
        <w:rPr/>
        <w:t xml:space="preserve">Unlike existing ESG corpora that are limited to classification labels or short extracts, VeritasCarbon-ESG-35K provides </w:t>
      </w:r>
      <w:r>
        <w:rPr>
          <w:i/>
        </w:rPr>
        <w:t>task-oriented instructions</w:t>
      </w:r>
      <w:r>
        <w:rPr/>
        <w:t xml:space="preserve"> with diverse types (Q&amp;A, summarization, extraction, classification, analysis, temporal analysis, benchmark comparison, greenwashing detection, standard alignment, knowledge graph construction, and consistency verification). This makes it directly usable for instruction tuning of large language models in the ESG and sustainable-finance domains.</w:t>
      </w:r>
    </w:p>
    <w:p>
      <w:pPr>
        <w:pStyle w:val="Normal"/>
      </w:pPr>
      <w:r>
        <w:rPr/>
        <w:t>The dataset is released under a tiered strategy to balance accessibility and copyright constraints:</w:t>
      </w:r>
    </w:p>
    <w:p>
      <w:pPr>
        <w:pStyle w:val="ListBullet"/>
        <w:spacing w:after="60"/>
      </w:pPr>
      <w:r>
        <w:rPr>
          <w:sz w:val="20"/>
        </w:rPr>
        <w:t>A representative 2,000-pair sample is included in the GitHub repository for immediate inspection and replication of the main evaluation (Table 2);</w:t>
      </w:r>
    </w:p>
    <w:p>
      <w:pPr>
        <w:pStyle w:val="ListBullet"/>
        <w:spacing w:after="60"/>
      </w:pPr>
      <w:r>
        <w:rPr>
          <w:sz w:val="20"/>
        </w:rPr>
        <w:t>The full 35,009-pair dataset is hosted on Hugging Face Datasets (https://huggingface.co/datasets/Yihan-JIANG/VeritasCarbon-ESG-35K) under CC BY-SA 4.0;</w:t>
      </w:r>
    </w:p>
    <w:p>
      <w:pPr>
        <w:pStyle w:val="ListBullet"/>
        <w:spacing w:after="60"/>
      </w:pPr>
      <w:r>
        <w:rPr>
          <w:sz w:val="20"/>
        </w:rPr>
        <w:t>Complete provenance metadata for all 17,721 source documents is provided in the repository, and the full dataset can be reproduced from source using the provided notebooks.</w:t>
      </w:r>
    </w:p>
    <w:p>
      <w:pPr>
        <w:pStyle w:val="Normal"/>
      </w:pPr>
      <w:r>
        <w:rPr/>
      </w:r>
    </w:p>
    <w:p>
      <w:pPr>
        <w:pStyle w:val="Heading1"/>
        <w:jc w:val="left"/>
      </w:pPr>
      <w:r>
        <w:rPr/>
        <w:t>A.1 Data and Code Availability</w:t>
      </w:r>
    </w:p>
    <w:p>
      <w:pPr>
        <w:pStyle w:val="Normal"/>
      </w:pPr>
      <w:r>
        <w:rPr>
          <w:b/>
        </w:rPr>
        <w:t xml:space="preserve">Code. </w:t>
      </w:r>
      <w:r>
        <w:rPr/>
        <w:t>The complete VeritasCarbon framework, evaluation scripts, and reproducibility instructions are available at https://github.com/YihanJIANG-lab/VeritasCarbon-VLDB2027 under the MIT License.</w:t>
      </w:r>
    </w:p>
    <w:p>
      <w:pPr>
        <w:pStyle w:val="Normal"/>
      </w:pPr>
      <w:r>
        <w:rPr>
          <w:b/>
        </w:rPr>
        <w:t xml:space="preserve">Sample Data. </w:t>
      </w:r>
      <w:r>
        <w:rPr/>
        <w:t>A representative 2,000-pair sample (veritascarbon_sample_2000.jsonl, 8.7 MB) is included in the GitHub repository. It is drawn with random.seed(42) from the full 35,009-pair pool and matches the evaluation protocol used in Table 2.</w:t>
      </w:r>
    </w:p>
    <w:p>
      <w:pPr>
        <w:pStyle w:val="Normal"/>
      </w:pPr>
      <w:r>
        <w:rPr>
          <w:b/>
        </w:rPr>
        <w:t xml:space="preserve">Full Dataset. </w:t>
      </w:r>
      <w:r>
        <w:rPr/>
        <w:t>The complete VeritasCarbon-ESG-35K dataset (35,009 instruction–response pairs, ~153 MB) is hosted on Hugging Face Datasets:</w:t>
      </w:r>
    </w:p>
    <w:p>
      <w:pPr>
        <w:pStyle w:val="Normal"/>
        <w:jc w:val="center"/>
      </w:pPr>
      <w:r>
        <w:rPr>
          <w:color w:val="0000FF"/>
          <w:u w:val="single"/>
        </w:rPr>
        <w:t>https://huggingface.co/datasets/Yihan-JIANG/VeritasCarbon-ESG-35K</w:t>
      </w:r>
    </w:p>
    <w:p>
      <w:pPr>
        <w:pStyle w:val="Normal"/>
      </w:pPr>
      <w:r>
        <w:rPr/>
        <w:t>It can be loaded in one line:</w:t>
      </w:r>
    </w:p>
    <w:p>
      <w:pPr>
        <w:pStyle w:val="Normal"/>
        <w:spacing w:before="0" w:after="0"/>
        <w:ind w:left="288"/>
      </w:pPr>
      <w:r>
        <w:rPr>
          <w:rFonts w:ascii="Courier New" w:hAnsi="Courier New"/>
          <w:color w:val="333333"/>
          <w:sz w:val="18"/>
        </w:rPr>
        <w:t>from datasets import load_dataset</w:t>
      </w:r>
    </w:p>
    <w:p>
      <w:pPr>
        <w:pStyle w:val="Normal"/>
        <w:spacing w:before="0" w:after="0"/>
        <w:ind w:left="288"/>
      </w:pPr>
      <w:r>
        <w:rPr>
          <w:rFonts w:ascii="Courier New" w:hAnsi="Courier New"/>
          <w:color w:val="333333"/>
          <w:sz w:val="18"/>
        </w:rPr>
        <w:t>ds = load_dataset("Yihan-JIANG/VeritasCarbon-ESG-35K", split="train")</w:t>
      </w:r>
    </w:p>
    <w:p>
      <w:pPr>
        <w:pStyle w:val="Normal"/>
      </w:pPr>
    </w:p>
    <w:p>
      <w:pPr>
        <w:pStyle w:val="Normal"/>
      </w:pPr>
      <w:r>
        <w:rPr>
          <w:b/>
        </w:rPr>
        <w:t xml:space="preserve">Raw Corpus. </w:t>
      </w:r>
      <w:r>
        <w:rPr/>
        <w:t>The source ESG documents (~2.7 GB, 17,721 files) contain copyrighted material and cannot be redistributed in full. Complete provenance metadata (document IDs, titles, source URLs, and chunk-to-document mappings) is provided in data/raw_corpus/CORPUS_MANIFEST.md.</w:t>
      </w:r>
    </w:p>
    <w:p>
      <w:pPr>
        <w:pStyle w:val="Normal"/>
      </w:pPr>
      <w:r>
        <w:rPr/>
      </w:r>
    </w:p>
    <w:p>
      <w:pPr>
        <w:pStyle w:val="Heading1"/>
        <w:jc w:val="left"/>
      </w:pPr>
      <w:r>
        <w:rPr/>
        <w:t>A.2 Reproducibility Checklist</w:t>
      </w:r>
    </w:p>
    <w:p>
      <w:pPr>
        <w:pStyle w:val="Normal"/>
      </w:pPr>
      <w:r>
        <w:rPr/>
        <w:t>Table 1 provides a 30-minute verification checklist for reviewers. All commands run on CPU; no GPU is required for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7E6E6"/>
          </w:tcPr>
          <w:p>
            <w:r>
              <w:rPr>
                <w:b/>
                <w:sz w:val="18"/>
              </w:rPr>
              <w:t>Claim</w:t>
            </w:r>
          </w:p>
        </w:tc>
        <w:tc>
          <w:tcPr>
            <w:tcW w:type="dxa" w:w="2160"/>
            <w:shd w:fill="E7E6E6"/>
          </w:tcPr>
          <w:p>
            <w:r>
              <w:rPr>
                <w:b/>
                <w:sz w:val="18"/>
              </w:rPr>
              <w:t>Verification Command</w:t>
            </w:r>
          </w:p>
        </w:tc>
        <w:tc>
          <w:tcPr>
            <w:tcW w:type="dxa" w:w="2160"/>
            <w:shd w:fill="E7E6E6"/>
          </w:tcPr>
          <w:p>
            <w:r>
              <w:rPr>
                <w:b/>
                <w:sz w:val="18"/>
              </w:rPr>
              <w:t>Expected Output</w:t>
            </w:r>
          </w:p>
        </w:tc>
        <w:tc>
          <w:tcPr>
            <w:tcW w:type="dxa" w:w="2160"/>
            <w:shd w:fill="E7E6E6"/>
          </w:tcPr>
          <w:p>
            <w:r>
              <w:rPr>
                <w:b/>
                <w:sz w:val="18"/>
              </w:rPr>
              <w:t>Time</w:t>
            </w:r>
          </w:p>
        </w:tc>
      </w:tr>
      <w:tr>
        <w:tc>
          <w:tcPr>
            <w:tcW w:type="dxa" w:w="2160"/>
          </w:tcPr>
          <w:p>
            <w:r>
              <w:rPr>
                <w:sz w:val="18"/>
              </w:rPr>
              <w:t>Table 2: CoDE ROUGE-L</w:t>
            </w:r>
          </w:p>
        </w:tc>
        <w:tc>
          <w:tcPr>
            <w:tcW w:type="dxa" w:w="2160"/>
          </w:tcPr>
          <w:p>
            <w:r>
              <w:rPr>
                <w:sz w:val="18"/>
              </w:rPr>
              <w:t>cat results/outputs/intrinsic_comparison.json</w:t>
            </w:r>
          </w:p>
        </w:tc>
        <w:tc>
          <w:tcPr>
            <w:tcW w:type="dxa" w:w="2160"/>
          </w:tcPr>
          <w:p>
            <w:r>
              <w:rPr>
                <w:sz w:val="18"/>
              </w:rPr>
              <w:t>0.3380</w:t>
            </w:r>
          </w:p>
        </w:tc>
        <w:tc>
          <w:tcPr>
            <w:tcW w:type="dxa" w:w="2160"/>
          </w:tcPr>
          <w:p>
            <w:r>
              <w:rPr>
                <w:sz w:val="18"/>
              </w:rPr>
              <w:t>30 s</w:t>
            </w:r>
          </w:p>
        </w:tc>
      </w:tr>
      <w:tr>
        <w:tc>
          <w:tcPr>
            <w:tcW w:type="dxa" w:w="2160"/>
          </w:tcPr>
          <w:p>
            <w:r>
              <w:rPr>
                <w:sz w:val="18"/>
              </w:rPr>
              <w:t>Table 2: CoDE BLEU-4</w:t>
            </w:r>
          </w:p>
        </w:tc>
        <w:tc>
          <w:tcPr>
            <w:tcW w:type="dxa" w:w="2160"/>
          </w:tcPr>
          <w:p>
            <w:r>
              <w:rPr>
                <w:sz w:val="18"/>
              </w:rPr>
              <w:t>same file</w:t>
            </w:r>
          </w:p>
        </w:tc>
        <w:tc>
          <w:tcPr>
            <w:tcW w:type="dxa" w:w="2160"/>
          </w:tcPr>
          <w:p>
            <w:r>
              <w:rPr>
                <w:sz w:val="18"/>
              </w:rPr>
              <w:t>0.1932</w:t>
            </w:r>
          </w:p>
        </w:tc>
        <w:tc>
          <w:tcPr>
            <w:tcW w:type="dxa" w:w="2160"/>
          </w:tcPr>
          <w:p>
            <w:r>
              <w:rPr>
                <w:sz w:val="18"/>
              </w:rPr>
              <w:t>---</w:t>
            </w:r>
          </w:p>
        </w:tc>
      </w:tr>
      <w:tr>
        <w:tc>
          <w:tcPr>
            <w:tcW w:type="dxa" w:w="2160"/>
          </w:tcPr>
          <w:p>
            <w:r>
              <w:rPr>
                <w:sz w:val="18"/>
              </w:rPr>
              <w:t>Table 2: Domain Rel.</w:t>
            </w:r>
          </w:p>
        </w:tc>
        <w:tc>
          <w:tcPr>
            <w:tcW w:type="dxa" w:w="2160"/>
          </w:tcPr>
          <w:p>
            <w:r>
              <w:rPr>
                <w:sz w:val="18"/>
              </w:rPr>
              <w:t>same file</w:t>
            </w:r>
          </w:p>
        </w:tc>
        <w:tc>
          <w:tcPr>
            <w:tcW w:type="dxa" w:w="2160"/>
          </w:tcPr>
          <w:p>
            <w:r>
              <w:rPr>
                <w:sz w:val="18"/>
              </w:rPr>
              <w:t>0.3637</w:t>
            </w:r>
          </w:p>
        </w:tc>
        <w:tc>
          <w:tcPr>
            <w:tcW w:type="dxa" w:w="2160"/>
          </w:tcPr>
          <w:p>
            <w:r>
              <w:rPr>
                <w:sz w:val="18"/>
              </w:rPr>
              <w:t>---</w:t>
            </w:r>
          </w:p>
        </w:tc>
      </w:tr>
      <w:tr>
        <w:tc>
          <w:tcPr>
            <w:tcW w:type="dxa" w:w="2160"/>
          </w:tcPr>
          <w:p>
            <w:r>
              <w:rPr>
                <w:sz w:val="18"/>
              </w:rPr>
              <w:t>Table 2: FactCheck</w:t>
            </w:r>
          </w:p>
        </w:tc>
        <w:tc>
          <w:tcPr>
            <w:tcW w:type="dxa" w:w="2160"/>
          </w:tcPr>
          <w:p>
            <w:r>
              <w:rPr>
                <w:sz w:val="18"/>
              </w:rPr>
              <w:t>same file</w:t>
            </w:r>
          </w:p>
        </w:tc>
        <w:tc>
          <w:tcPr>
            <w:tcW w:type="dxa" w:w="2160"/>
          </w:tcPr>
          <w:p>
            <w:r>
              <w:rPr>
                <w:sz w:val="18"/>
              </w:rPr>
              <w:t>0.9478</w:t>
            </w:r>
          </w:p>
        </w:tc>
        <w:tc>
          <w:tcPr>
            <w:tcW w:type="dxa" w:w="2160"/>
          </w:tcPr>
          <w:p>
            <w:r>
              <w:rPr>
                <w:sz w:val="18"/>
              </w:rPr>
              <w:t>---</w:t>
            </w:r>
          </w:p>
        </w:tc>
      </w:tr>
      <w:tr>
        <w:tc>
          <w:tcPr>
            <w:tcW w:type="dxa" w:w="2160"/>
          </w:tcPr>
          <w:p>
            <w:r>
              <w:rPr>
                <w:sz w:val="18"/>
              </w:rPr>
              <w:t>Table 3: Ablation</w:t>
            </w:r>
          </w:p>
        </w:tc>
        <w:tc>
          <w:tcPr>
            <w:tcW w:type="dxa" w:w="2160"/>
          </w:tcPr>
          <w:p>
            <w:r>
              <w:rPr>
                <w:sz w:val="18"/>
              </w:rPr>
              <w:t>cat results/figures_and_tables/table3_ablation.tex</w:t>
            </w:r>
          </w:p>
        </w:tc>
        <w:tc>
          <w:tcPr>
            <w:tcW w:type="dxa" w:w="2160"/>
          </w:tcPr>
          <w:p>
            <w:r>
              <w:rPr>
                <w:sz w:val="18"/>
              </w:rPr>
              <w:t>all 12 values</w:t>
            </w:r>
          </w:p>
        </w:tc>
        <w:tc>
          <w:tcPr>
            <w:tcW w:type="dxa" w:w="2160"/>
          </w:tcPr>
          <w:p>
            <w:r>
              <w:rPr>
                <w:sz w:val="18"/>
              </w:rPr>
              <w:t>30 s</w:t>
            </w:r>
          </w:p>
        </w:tc>
      </w:tr>
      <w:tr>
        <w:tc>
          <w:tcPr>
            <w:tcW w:type="dxa" w:w="2160"/>
          </w:tcPr>
          <w:p>
            <w:r>
              <w:rPr>
                <w:sz w:val="18"/>
              </w:rPr>
              <w:t>Fig 5: Quality dist.</w:t>
            </w:r>
          </w:p>
        </w:tc>
        <w:tc>
          <w:tcPr>
            <w:tcW w:type="dxa" w:w="2160"/>
          </w:tcPr>
          <w:p>
            <w:r>
              <w:rPr>
                <w:sz w:val="18"/>
              </w:rPr>
              <w:t>python scripts/generate_paper_results.py --figures</w:t>
            </w:r>
          </w:p>
        </w:tc>
        <w:tc>
          <w:tcPr>
            <w:tcW w:type="dxa" w:w="2160"/>
          </w:tcPr>
          <w:p>
            <w:r>
              <w:rPr>
                <w:sz w:val="18"/>
              </w:rPr>
              <w:t>PDF/PNG files</w:t>
            </w:r>
          </w:p>
        </w:tc>
        <w:tc>
          <w:tcPr>
            <w:tcW w:type="dxa" w:w="2160"/>
          </w:tcPr>
          <w:p>
            <w:r>
              <w:rPr>
                <w:sz w:val="18"/>
              </w:rPr>
              <w:t>2 min</w:t>
            </w:r>
          </w:p>
        </w:tc>
      </w:tr>
      <w:tr>
        <w:tc>
          <w:tcPr>
            <w:tcW w:type="dxa" w:w="2160"/>
          </w:tcPr>
          <w:p>
            <w:r>
              <w:rPr>
                <w:sz w:val="18"/>
              </w:rPr>
              <w:t>Dataset size: 35,009</w:t>
            </w:r>
          </w:p>
        </w:tc>
        <w:tc>
          <w:tcPr>
            <w:tcW w:type="dxa" w:w="2160"/>
          </w:tcPr>
          <w:p>
            <w:r>
              <w:rPr>
                <w:sz w:val="18"/>
              </w:rPr>
              <w:t>cat results/figures_and_tables/table2_qa_statistics.json</w:t>
            </w:r>
          </w:p>
        </w:tc>
        <w:tc>
          <w:tcPr>
            <w:tcW w:type="dxa" w:w="2160"/>
          </w:tcPr>
          <w:p>
            <w:r>
              <w:rPr>
                <w:sz w:val="18"/>
              </w:rPr>
              <w:t>35009</w:t>
            </w:r>
          </w:p>
        </w:tc>
        <w:tc>
          <w:tcPr>
            <w:tcW w:type="dxa" w:w="2160"/>
          </w:tcPr>
          <w:p>
            <w:r>
              <w:rPr>
                <w:sz w:val="18"/>
              </w:rPr>
              <w:t>10 s</w:t>
            </w:r>
          </w:p>
        </w:tc>
      </w:tr>
      <w:tr>
        <w:tc>
          <w:tcPr>
            <w:tcW w:type="dxa" w:w="2160"/>
          </w:tcPr>
          <w:p>
            <w:r>
              <w:rPr>
                <w:sz w:val="18"/>
              </w:rPr>
              <w:t>Provenance: traceable</w:t>
            </w:r>
          </w:p>
        </w:tc>
        <w:tc>
          <w:tcPr>
            <w:tcW w:type="dxa" w:w="2160"/>
          </w:tcPr>
          <w:p>
            <w:r>
              <w:rPr>
                <w:sz w:val="18"/>
              </w:rPr>
              <w:t>Inspect any record in data/sample/*.jsonl</w:t>
            </w:r>
          </w:p>
        </w:tc>
        <w:tc>
          <w:tcPr>
            <w:tcW w:type="dxa" w:w="2160"/>
          </w:tcPr>
          <w:p>
            <w:r>
              <w:rPr>
                <w:sz w:val="18"/>
              </w:rPr>
              <w:t>source_chunk_id present</w:t>
            </w:r>
          </w:p>
        </w:tc>
        <w:tc>
          <w:tcPr>
            <w:tcW w:type="dxa" w:w="2160"/>
          </w:tcPr>
          <w:p>
            <w:r>
              <w:rPr>
                <w:sz w:val="18"/>
              </w:rPr>
              <w:t>1 min</w:t>
            </w:r>
          </w:p>
        </w:tc>
      </w:tr>
      <w:tr>
        <w:tc>
          <w:tcPr>
            <w:tcW w:type="dxa" w:w="2160"/>
          </w:tcPr>
          <w:p>
            <w:r>
              <w:rPr>
                <w:sz w:val="18"/>
              </w:rPr>
              <w:t>Evaluation pipeline</w:t>
            </w:r>
          </w:p>
        </w:tc>
        <w:tc>
          <w:tcPr>
            <w:tcW w:type="dxa" w:w="2160"/>
          </w:tcPr>
          <w:p>
            <w:r>
              <w:rPr>
                <w:sz w:val="18"/>
              </w:rPr>
              <w:t>Run intrinsic_evaluation_03_03.py on sample</w:t>
            </w:r>
          </w:p>
        </w:tc>
        <w:tc>
          <w:tcPr>
            <w:tcW w:type="dxa" w:w="2160"/>
          </w:tcPr>
          <w:p>
            <w:r>
              <w:rPr>
                <w:sz w:val="18"/>
              </w:rPr>
              <w:t>metrics JSON</w:t>
            </w:r>
          </w:p>
        </w:tc>
        <w:tc>
          <w:tcPr>
            <w:tcW w:type="dxa" w:w="2160"/>
          </w:tcPr>
          <w:p>
            <w:r>
              <w:rPr>
                <w:sz w:val="18"/>
              </w:rPr>
              <w:t>10 min</w:t>
            </w:r>
          </w:p>
        </w:tc>
      </w:tr>
    </w:tbl>
    <w:p>
      <w:pPr>
        <w:pStyle w:val="Normal"/>
      </w:pPr>
    </w:p>
    <w:p>
      <w:pPr>
        <w:pStyle w:val="Normal"/>
      </w:pPr>
      <w:r>
        <w:rPr>
          <w:b/>
        </w:rPr>
        <w:t xml:space="preserve">Notes. </w:t>
      </w:r>
    </w:p>
    <w:p>
      <w:pPr>
        <w:pStyle w:val="ListBullet"/>
        <w:spacing w:after="60"/>
      </w:pPr>
      <w:r>
        <w:rPr>
          <w:sz w:val="20"/>
        </w:rPr>
        <w:t>Tracks A–B (rows 1–8) require only the GitHub repository (~10 MB download).</w:t>
      </w:r>
    </w:p>
    <w:p>
      <w:pPr>
        <w:pStyle w:val="ListBullet"/>
        <w:spacing w:after="60"/>
      </w:pPr>
      <w:r>
        <w:rPr>
          <w:sz w:val="20"/>
        </w:rPr>
        <w:t>Track C (full regeneration) requires the raw corpus (~2.7 GB) and an A100 GPU; see REPRODUCIBILITY.md for details.</w:t>
      </w:r>
    </w:p>
    <w:p>
      <w:pPr>
        <w:pStyle w:val="ListBullet"/>
        <w:spacing w:after="60"/>
      </w:pPr>
      <w:r>
        <w:rPr>
          <w:sz w:val="20"/>
        </w:rPr>
        <w:t>All random sampling uses random.seed(42).</w:t>
      </w:r>
    </w:p>
    <w:p>
      <w:pPr>
        <w:pStyle w:val="Normal"/>
      </w:pPr>
      <w:r>
        <w:rPr/>
      </w:r>
    </w:p>
    <w:p>
      <w:pPr>
        <w:pStyle w:val="Heading1"/>
        <w:jc w:val="left"/>
      </w:pPr>
      <w:r>
        <w:rPr/>
        <w:t>A.3 Prompt Templates</w:t>
      </w:r>
    </w:p>
    <w:p>
      <w:pPr>
        <w:pStyle w:val="Normal"/>
      </w:pPr>
      <w:r>
        <w:rPr/>
        <w:t>The CoDE framework employs 11 specialized expert agents plus a MetaExpert orchestrator. Each expert receives a system prompt that defines its persona, task, and output format. All prompts support two modes:</w:t>
      </w:r>
    </w:p>
    <w:p>
      <w:pPr>
        <w:pStyle w:val="ListNumber"/>
        <w:spacing w:after="60"/>
      </w:pPr>
      <w:r>
        <w:rPr>
          <w:sz w:val="20"/>
        </w:rPr>
        <w:t>Default mode: The expert generates a task directly from the text chunk.</w:t>
      </w:r>
    </w:p>
    <w:p>
      <w:pPr>
        <w:pStyle w:val="ListNumber"/>
        <w:spacing w:after="60"/>
      </w:pPr>
      <w:r>
        <w:rPr>
          <w:sz w:val="20"/>
        </w:rPr>
        <w:t>Dynamic mode: The expert receives an additional work instruction from the MetaExpert and must align its output to that instruction.</w:t>
      </w:r>
    </w:p>
    <w:p>
      <w:pPr>
        <w:pStyle w:val="Normal"/>
      </w:pPr>
      <w:r>
        <w:rPr/>
        <w:t>The dynamic mode simply prepends "Work instruction: {dynamic_instruction}" to the requirements block; the remainder of the prompt is identical. Below we present the default-mode prompts for representative experts, followed by a summary table for all 11 experts, and finally the MetaExpert orchestration prompt.</w:t>
      </w:r>
    </w:p>
    <w:p>
      <w:pPr>
        <w:pStyle w:val="Heading2"/>
        <w:jc w:val="left"/>
      </w:pPr>
      <w:r>
        <w:rPr/>
        <w:t>A.3.1 Q&amp;A Expert</w:t>
      </w:r>
    </w:p>
    <w:p>
      <w:pPr>
        <w:pStyle w:val="Normal"/>
        <w:spacing w:before="0" w:after="0"/>
        <w:ind w:left="288"/>
      </w:pPr>
      <w:r>
        <w:rPr>
          <w:rFonts w:ascii="Courier New" w:hAnsi="Courier New"/>
          <w:color w:val="333333"/>
          <w:sz w:val="18"/>
        </w:rPr>
        <w:t>You are a senior ESG (environment, social, governance) Q&amp;A generation expert.</w:t>
      </w:r>
    </w:p>
    <w:p>
      <w:pPr>
        <w:pStyle w:val="Normal"/>
        <w:spacing w:before="0" w:after="0"/>
        <w:ind w:left="288"/>
      </w:pPr>
      <w:r>
        <w:rPr>
          <w:rFonts w:ascii="Courier New" w:hAnsi="Courier New"/>
          <w:color w:val="333333"/>
          <w:sz w:val="18"/>
        </w:rPr>
        <w:t>Task: Generate one high-quality Q&amp;A pair from the given text.</w:t>
      </w:r>
    </w:p>
    <w:p>
      <w:pPr>
        <w:pStyle w:val="Normal"/>
        <w:spacing w:before="0" w:after="0"/>
        <w:ind w:left="288"/>
      </w:pPr>
      <w:r>
        <w:rPr>
          <w:rFonts w:ascii="Courier New" w:hAnsi="Courier New"/>
          <w:color w:val="333333"/>
          <w:sz w:val="18"/>
        </w:rPr>
        <w:t>Requirements:</w:t>
      </w:r>
    </w:p>
    <w:p>
      <w:pPr>
        <w:pStyle w:val="Normal"/>
        <w:spacing w:before="0" w:after="0"/>
        <w:ind w:left="288"/>
      </w:pPr>
      <w:r>
        <w:rPr>
          <w:rFonts w:ascii="Courier New" w:hAnsi="Courier New"/>
          <w:color w:val="333333"/>
          <w:sz w:val="18"/>
        </w:rPr>
        <w:t>1. The question should be highly relevant to the text.</w:t>
      </w:r>
    </w:p>
    <w:p>
      <w:pPr>
        <w:pStyle w:val="Normal"/>
        <w:spacing w:before="0" w:after="0"/>
        <w:ind w:left="288"/>
      </w:pPr>
      <w:r>
        <w:rPr>
          <w:rFonts w:ascii="Courier New" w:hAnsi="Courier New"/>
          <w:color w:val="333333"/>
          <w:sz w:val="18"/>
        </w:rPr>
        <w:t>2. The answer must be findable in the text or reasonably inferred.</w:t>
      </w:r>
    </w:p>
    <w:p>
      <w:pPr>
        <w:pStyle w:val="Normal"/>
        <w:spacing w:before="0" w:after="0"/>
        <w:ind w:left="288"/>
      </w:pPr>
      <w:r>
        <w:rPr>
          <w:rFonts w:ascii="Courier New" w:hAnsi="Courier New"/>
          <w:color w:val="333333"/>
          <w:sz w:val="18"/>
        </w:rPr>
        <w:t>3. The question should cover an ESG dimension (environment/social/governance)</w:t>
      </w:r>
    </w:p>
    <w:p>
      <w:pPr>
        <w:pStyle w:val="Normal"/>
        <w:spacing w:before="0" w:after="0"/>
        <w:ind w:left="288"/>
      </w:pPr>
      <w:r>
        <w:rPr>
          <w:rFonts w:ascii="Courier New" w:hAnsi="Courier New"/>
          <w:color w:val="333333"/>
          <w:sz w:val="18"/>
        </w:rPr>
        <w:t xml:space="preserve">   and lead to carbon performance or commitment credibility.</w:t>
      </w:r>
    </w:p>
    <w:p>
      <w:pPr>
        <w:pStyle w:val="Normal"/>
        <w:spacing w:before="0" w:after="0"/>
        <w:ind w:left="288"/>
      </w:pPr>
      <w:r>
        <w:rPr>
          <w:rFonts w:ascii="Courier New" w:hAnsi="Courier New"/>
          <w:color w:val="333333"/>
          <w:sz w:val="18"/>
        </w:rPr>
        <w:t>4. The question should be specific and clear.</w:t>
      </w:r>
    </w:p>
    <w:p>
      <w:pPr>
        <w:pStyle w:val="Normal"/>
        <w:spacing w:before="0" w:after="0"/>
        <w:ind w:left="288"/>
      </w:pPr>
      <w:r>
        <w:rPr>
          <w:rFonts w:ascii="Courier New" w:hAnsi="Courier New"/>
          <w:color w:val="333333"/>
          <w:sz w:val="18"/>
        </w:rPr>
        <w:t>5. The answer should be accurate and complete.</w:t>
      </w:r>
    </w:p>
    <w:p>
      <w:pPr>
        <w:pStyle w:val="Normal"/>
        <w:spacing w:before="0" w:after="0"/>
        <w:ind w:left="288"/>
      </w:pPr>
      <w:r>
        <w:rPr>
          <w:rFonts w:ascii="Courier New" w:hAnsi="Courier New"/>
          <w:color w:val="333333"/>
          <w:sz w:val="18"/>
        </w:rPr>
        <w:t>{knowledge_context}</w:t>
      </w:r>
    </w:p>
    <w:p>
      <w:pPr>
        <w:pStyle w:val="Normal"/>
        <w:spacing w:before="0" w:after="0"/>
        <w:ind w:left="288"/>
      </w:pPr>
      <w:r>
        <w:rPr>
          <w:rFonts w:ascii="Courier New" w:hAnsi="Courier New"/>
          <w:color w:val="333333"/>
          <w:sz w:val="18"/>
        </w:rPr>
        <w:t>Text:</w:t>
      </w:r>
    </w:p>
    <w:p>
      <w:pPr>
        <w:pStyle w:val="Normal"/>
        <w:spacing w:before="0" w:after="0"/>
        <w:ind w:left="288"/>
      </w:pPr>
      <w:r>
        <w:rPr>
          <w:rFonts w:ascii="Courier New" w:hAnsi="Courier New"/>
          <w:color w:val="333333"/>
          <w:sz w:val="18"/>
        </w:rPr>
        <w:t>{chunk_text}</w:t>
      </w:r>
    </w:p>
    <w:p>
      <w:pPr>
        <w:pStyle w:val="Normal"/>
        <w:spacing w:before="0" w:after="0"/>
        <w:ind w:left="288"/>
      </w:pPr>
      <w:r>
        <w:rPr>
          <w:rFonts w:ascii="Courier New" w:hAnsi="Courier New"/>
          <w:color w:val="333333"/>
          <w:sz w:val="18"/>
        </w:rPr>
        <w:t>Output format:</w:t>
      </w:r>
    </w:p>
    <w:p>
      <w:pPr>
        <w:pStyle w:val="Normal"/>
        <w:spacing w:before="0" w:after="0"/>
        <w:ind w:left="288"/>
      </w:pPr>
      <w:r>
        <w:rPr>
          <w:rFonts w:ascii="Courier New" w:hAnsi="Courier New"/>
          <w:color w:val="333333"/>
          <w:sz w:val="18"/>
        </w:rPr>
        <w:t>Question: [your question]</w:t>
      </w:r>
    </w:p>
    <w:p>
      <w:pPr>
        <w:pStyle w:val="Normal"/>
        <w:spacing w:before="0" w:after="0"/>
        <w:ind w:left="288"/>
      </w:pPr>
      <w:r>
        <w:rPr>
          <w:rFonts w:ascii="Courier New" w:hAnsi="Courier New"/>
          <w:color w:val="333333"/>
          <w:sz w:val="18"/>
        </w:rPr>
        <w:t>Answer: [your answer]</w:t>
      </w:r>
    </w:p>
    <w:p>
      <w:pPr>
        <w:pStyle w:val="Normal"/>
        <w:spacing w:before="0" w:after="0"/>
        <w:ind w:left="288"/>
      </w:pPr>
      <w:r>
        <w:rPr>
          <w:rFonts w:ascii="Courier New" w:hAnsi="Courier New"/>
          <w:color w:val="333333"/>
          <w:sz w:val="18"/>
        </w:rPr>
        <w:t>Output only the Q&amp;A pair.</w:t>
      </w:r>
    </w:p>
    <w:p>
      <w:pPr>
        <w:pStyle w:val="Normal"/>
      </w:pPr>
    </w:p>
    <w:p>
      <w:pPr>
        <w:pStyle w:val="Heading2"/>
        <w:jc w:val="left"/>
      </w:pPr>
      <w:r>
        <w:rPr/>
        <w:t>A.3.2 Analysis Expert</w:t>
      </w:r>
    </w:p>
    <w:p>
      <w:pPr>
        <w:pStyle w:val="Normal"/>
        <w:spacing w:before="0" w:after="0"/>
        <w:ind w:left="288"/>
      </w:pPr>
      <w:r>
        <w:rPr>
          <w:rFonts w:ascii="Courier New" w:hAnsi="Courier New"/>
          <w:color w:val="333333"/>
          <w:sz w:val="18"/>
        </w:rPr>
        <w:t>You are a senior ESG analysis expert.</w:t>
      </w:r>
    </w:p>
    <w:p>
      <w:pPr>
        <w:pStyle w:val="Normal"/>
        <w:spacing w:before="0" w:after="0"/>
        <w:ind w:left="288"/>
      </w:pPr>
      <w:r>
        <w:rPr>
          <w:rFonts w:ascii="Courier New" w:hAnsi="Courier New"/>
          <w:color w:val="333333"/>
          <w:sz w:val="18"/>
        </w:rPr>
        <w:t>Task: Generate one analysis task (instruction-answer pair) from the text.</w:t>
      </w:r>
    </w:p>
    <w:p>
      <w:pPr>
        <w:pStyle w:val="Normal"/>
        <w:spacing w:before="0" w:after="0"/>
        <w:ind w:left="288"/>
      </w:pPr>
      <w:r>
        <w:rPr>
          <w:rFonts w:ascii="Courier New" w:hAnsi="Courier New"/>
          <w:color w:val="333333"/>
          <w:sz w:val="18"/>
        </w:rPr>
        <w:t>Requirements:</w:t>
      </w:r>
    </w:p>
    <w:p>
      <w:pPr>
        <w:pStyle w:val="Normal"/>
        <w:spacing w:before="0" w:after="0"/>
        <w:ind w:left="288"/>
      </w:pPr>
      <w:r>
        <w:rPr>
          <w:rFonts w:ascii="Courier New" w:hAnsi="Courier New"/>
          <w:color w:val="333333"/>
          <w:sz w:val="18"/>
        </w:rPr>
        <w:t>1. The instruction should ask to analyze ESG content (e.g. comparison,</w:t>
      </w:r>
    </w:p>
    <w:p>
      <w:pPr>
        <w:pStyle w:val="Normal"/>
        <w:spacing w:before="0" w:after="0"/>
        <w:ind w:left="288"/>
      </w:pPr>
      <w:r>
        <w:rPr>
          <w:rFonts w:ascii="Courier New" w:hAnsi="Courier New"/>
          <w:color w:val="333333"/>
          <w:sz w:val="18"/>
        </w:rPr>
        <w:t xml:space="preserve">   trend, impact) and lead to carbon/commitment assessment.</w:t>
      </w:r>
    </w:p>
    <w:p>
      <w:pPr>
        <w:pStyle w:val="Normal"/>
        <w:spacing w:before="0" w:after="0"/>
        <w:ind w:left="288"/>
      </w:pPr>
      <w:r>
        <w:rPr>
          <w:rFonts w:ascii="Courier New" w:hAnsi="Courier New"/>
          <w:color w:val="333333"/>
          <w:sz w:val="18"/>
        </w:rPr>
        <w:t>2. The answer should contain in-depth analysis grounded in the text</w:t>
      </w:r>
    </w:p>
    <w:p>
      <w:pPr>
        <w:pStyle w:val="Normal"/>
        <w:spacing w:before="0" w:after="0"/>
        <w:ind w:left="288"/>
      </w:pPr>
      <w:r>
        <w:rPr>
          <w:rFonts w:ascii="Courier New" w:hAnsi="Courier New"/>
          <w:color w:val="333333"/>
          <w:sz w:val="18"/>
        </w:rPr>
        <w:t xml:space="preserve">   and cross-domain reasoning.</w:t>
      </w:r>
    </w:p>
    <w:p>
      <w:pPr>
        <w:pStyle w:val="Normal"/>
        <w:spacing w:before="0" w:after="0"/>
        <w:ind w:left="288"/>
      </w:pPr>
      <w:r>
        <w:rPr>
          <w:rFonts w:ascii="Courier New" w:hAnsi="Courier New"/>
          <w:color w:val="333333"/>
          <w:sz w:val="18"/>
        </w:rPr>
        <w:t>3. Be critical and assess credibility of carbon commitments.</w:t>
      </w:r>
    </w:p>
    <w:p>
      <w:pPr>
        <w:pStyle w:val="Normal"/>
        <w:spacing w:before="0" w:after="0"/>
        <w:ind w:left="288"/>
      </w:pPr>
      <w:r>
        <w:rPr>
          <w:rFonts w:ascii="Courier New" w:hAnsi="Courier New"/>
          <w:color w:val="333333"/>
          <w:sz w:val="18"/>
        </w:rPr>
        <w:t>{knowledge_context}</w:t>
      </w:r>
    </w:p>
    <w:p>
      <w:pPr>
        <w:pStyle w:val="Normal"/>
        <w:spacing w:before="0" w:after="0"/>
        <w:ind w:left="288"/>
      </w:pPr>
      <w:r>
        <w:rPr>
          <w:rFonts w:ascii="Courier New" w:hAnsi="Courier New"/>
          <w:color w:val="333333"/>
          <w:sz w:val="18"/>
        </w:rPr>
        <w:t>Text:</w:t>
      </w:r>
    </w:p>
    <w:p>
      <w:pPr>
        <w:pStyle w:val="Normal"/>
        <w:spacing w:before="0" w:after="0"/>
        <w:ind w:left="288"/>
      </w:pPr>
      <w:r>
        <w:rPr>
          <w:rFonts w:ascii="Courier New" w:hAnsi="Courier New"/>
          <w:color w:val="333333"/>
          <w:sz w:val="18"/>
        </w:rPr>
        <w:t>{chunk_text}</w:t>
      </w:r>
    </w:p>
    <w:p>
      <w:pPr>
        <w:pStyle w:val="Normal"/>
        <w:spacing w:before="0" w:after="0"/>
        <w:ind w:left="288"/>
      </w:pPr>
      <w:r>
        <w:rPr>
          <w:rFonts w:ascii="Courier New" w:hAnsi="Courier New"/>
          <w:color w:val="333333"/>
          <w:sz w:val="18"/>
        </w:rPr>
        <w:t>Output format:</w:t>
      </w:r>
    </w:p>
    <w:p>
      <w:pPr>
        <w:pStyle w:val="Normal"/>
        <w:spacing w:before="0" w:after="0"/>
        <w:ind w:left="288"/>
      </w:pPr>
      <w:r>
        <w:rPr>
          <w:rFonts w:ascii="Courier New" w:hAnsi="Courier New"/>
          <w:color w:val="333333"/>
          <w:sz w:val="18"/>
        </w:rPr>
        <w:t>Instruction: [your instruction]</w:t>
      </w:r>
    </w:p>
    <w:p>
      <w:pPr>
        <w:pStyle w:val="Normal"/>
        <w:spacing w:before="0" w:after="0"/>
        <w:ind w:left="288"/>
      </w:pPr>
      <w:r>
        <w:rPr>
          <w:rFonts w:ascii="Courier New" w:hAnsi="Courier New"/>
          <w:color w:val="333333"/>
          <w:sz w:val="18"/>
        </w:rPr>
        <w:t>Analysis result: [your analysis]</w:t>
      </w:r>
    </w:p>
    <w:p>
      <w:pPr>
        <w:pStyle w:val="Normal"/>
        <w:spacing w:before="0" w:after="0"/>
        <w:ind w:left="288"/>
      </w:pPr>
      <w:r>
        <w:rPr>
          <w:rFonts w:ascii="Courier New" w:hAnsi="Courier New"/>
          <w:color w:val="333333"/>
          <w:sz w:val="18"/>
        </w:rPr>
        <w:t>Output only instruction and analysis result.</w:t>
      </w:r>
    </w:p>
    <w:p>
      <w:pPr>
        <w:pStyle w:val="Normal"/>
      </w:pPr>
    </w:p>
    <w:p>
      <w:pPr>
        <w:pStyle w:val="Heading2"/>
        <w:jc w:val="left"/>
      </w:pPr>
      <w:r>
        <w:rPr/>
        <w:t>A.3.3 Greenwashing Detection Expert</w:t>
      </w:r>
    </w:p>
    <w:p>
      <w:pPr>
        <w:pStyle w:val="Normal"/>
        <w:spacing w:before="0" w:after="0"/>
        <w:ind w:left="288"/>
      </w:pPr>
      <w:r>
        <w:rPr>
          <w:rFonts w:ascii="Courier New" w:hAnsi="Courier New"/>
          <w:color w:val="333333"/>
          <w:sz w:val="18"/>
        </w:rPr>
        <w:t>You are a senior ESG greenwashing detection expert, skilled at identifying</w:t>
      </w:r>
    </w:p>
    <w:p>
      <w:pPr>
        <w:pStyle w:val="Normal"/>
        <w:spacing w:before="0" w:after="0"/>
        <w:ind w:left="288"/>
      </w:pPr>
      <w:r>
        <w:rPr>
          <w:rFonts w:ascii="Courier New" w:hAnsi="Courier New"/>
          <w:color w:val="333333"/>
          <w:sz w:val="18"/>
        </w:rPr>
        <w:t>misleading or exaggerated claims in reports.</w:t>
      </w:r>
    </w:p>
    <w:p>
      <w:pPr>
        <w:pStyle w:val="Normal"/>
        <w:spacing w:before="0" w:after="0"/>
        <w:ind w:left="288"/>
      </w:pPr>
      <w:r>
        <w:rPr>
          <w:rFonts w:ascii="Courier New" w:hAnsi="Courier New"/>
          <w:color w:val="333333"/>
          <w:sz w:val="18"/>
        </w:rPr>
        <w:t>Task: Generate a greenwashing detection task (instruction-answer pair)</w:t>
      </w:r>
    </w:p>
    <w:p>
      <w:pPr>
        <w:pStyle w:val="Normal"/>
        <w:spacing w:before="0" w:after="0"/>
        <w:ind w:left="288"/>
      </w:pPr>
      <w:r>
        <w:rPr>
          <w:rFonts w:ascii="Courier New" w:hAnsi="Courier New"/>
          <w:color w:val="333333"/>
          <w:sz w:val="18"/>
        </w:rPr>
        <w:t>from the text.</w:t>
      </w:r>
    </w:p>
    <w:p>
      <w:pPr>
        <w:pStyle w:val="Normal"/>
        <w:spacing w:before="0" w:after="0"/>
        <w:ind w:left="288"/>
      </w:pPr>
      <w:r>
        <w:rPr>
          <w:rFonts w:ascii="Courier New" w:hAnsi="Courier New"/>
          <w:color w:val="333333"/>
          <w:sz w:val="18"/>
        </w:rPr>
        <w:t>Requirements:</w:t>
      </w:r>
    </w:p>
    <w:p>
      <w:pPr>
        <w:pStyle w:val="Normal"/>
        <w:spacing w:before="0" w:after="0"/>
        <w:ind w:left="288"/>
      </w:pPr>
      <w:r>
        <w:rPr>
          <w:rFonts w:ascii="Courier New" w:hAnsi="Courier New"/>
          <w:color w:val="333333"/>
          <w:sz w:val="18"/>
        </w:rPr>
        <w:t>1. Identify greenwashing patterns (refer to common patterns list).</w:t>
      </w:r>
    </w:p>
    <w:p>
      <w:pPr>
        <w:pStyle w:val="Normal"/>
        <w:spacing w:before="0" w:after="0"/>
        <w:ind w:left="288"/>
      </w:pPr>
      <w:r>
        <w:rPr>
          <w:rFonts w:ascii="Courier New" w:hAnsi="Courier New"/>
          <w:color w:val="333333"/>
          <w:sz w:val="18"/>
        </w:rPr>
        <w:t>2. Quantify greenwashing risk (0-1, 1 = highest risk).</w:t>
      </w:r>
    </w:p>
    <w:p>
      <w:pPr>
        <w:pStyle w:val="Normal"/>
        <w:spacing w:before="0" w:after="0"/>
        <w:ind w:left="288"/>
      </w:pPr>
      <w:r>
        <w:rPr>
          <w:rFonts w:ascii="Courier New" w:hAnsi="Courier New"/>
          <w:color w:val="333333"/>
          <w:sz w:val="18"/>
        </w:rPr>
        <w:t>3. Provide evidence chain (quote source text).</w:t>
      </w:r>
    </w:p>
    <w:p>
      <w:pPr>
        <w:pStyle w:val="Normal"/>
        <w:spacing w:before="0" w:after="0"/>
        <w:ind w:left="288"/>
      </w:pPr>
      <w:r>
        <w:rPr>
          <w:rFonts w:ascii="Courier New" w:hAnsi="Courier New"/>
          <w:color w:val="333333"/>
          <w:sz w:val="18"/>
        </w:rPr>
        <w:t>4. Produce greenwashing risk report.</w:t>
      </w:r>
    </w:p>
    <w:p>
      <w:pPr>
        <w:pStyle w:val="Normal"/>
        <w:spacing w:before="0" w:after="0"/>
        <w:ind w:left="288"/>
      </w:pPr>
      <w:r>
        <w:rPr>
          <w:rFonts w:ascii="Courier New" w:hAnsi="Courier New"/>
          <w:color w:val="333333"/>
          <w:sz w:val="18"/>
        </w:rPr>
      </w:r>
    </w:p>
    <w:p>
      <w:pPr>
        <w:pStyle w:val="Normal"/>
        <w:spacing w:before="0" w:after="0"/>
        <w:ind w:left="288"/>
      </w:pPr>
      <w:r>
        <w:rPr>
          <w:rFonts w:ascii="Courier New" w:hAnsi="Courier New"/>
          <w:color w:val="333333"/>
          <w:sz w:val="18"/>
        </w:rPr>
        <w:t>Common greenwashing patterns:</w:t>
      </w:r>
    </w:p>
    <w:p>
      <w:pPr>
        <w:pStyle w:val="Normal"/>
        <w:spacing w:before="0" w:after="0"/>
        <w:ind w:left="288"/>
      </w:pPr>
      <w:r>
        <w:rPr>
          <w:rFonts w:ascii="Courier New" w:hAnsi="Courier New"/>
          <w:color w:val="333333"/>
          <w:sz w:val="18"/>
        </w:rPr>
        <w:t>1. Vague commitments: "committed to", "plan to" without concrete targets</w:t>
      </w:r>
    </w:p>
    <w:p>
      <w:pPr>
        <w:pStyle w:val="Normal"/>
        <w:spacing w:before="0" w:after="0"/>
        <w:ind w:left="288"/>
      </w:pPr>
      <w:r>
        <w:rPr>
          <w:rFonts w:ascii="Courier New" w:hAnsi="Courier New"/>
          <w:color w:val="333333"/>
          <w:sz w:val="18"/>
        </w:rPr>
        <w:t>2. Selective disclosure: only favorable data, hiding unfavorable info</w:t>
      </w:r>
    </w:p>
    <w:p>
      <w:pPr>
        <w:pStyle w:val="Normal"/>
        <w:spacing w:before="0" w:after="0"/>
        <w:ind w:left="288"/>
      </w:pPr>
      <w:r>
        <w:rPr>
          <w:rFonts w:ascii="Courier New" w:hAnsi="Courier New"/>
          <w:color w:val="333333"/>
          <w:sz w:val="18"/>
        </w:rPr>
        <w:t>3. Exaggerated impact: overstating environmental project effects</w:t>
      </w:r>
    </w:p>
    <w:p>
      <w:pPr>
        <w:pStyle w:val="Normal"/>
        <w:spacing w:before="0" w:after="0"/>
        <w:ind w:left="288"/>
      </w:pPr>
      <w:r>
        <w:rPr>
          <w:rFonts w:ascii="Courier New" w:hAnsi="Courier New"/>
          <w:color w:val="333333"/>
          <w:sz w:val="18"/>
        </w:rPr>
        <w:t>4. Time mismatch: presenting future plans as achieved results</w:t>
      </w:r>
    </w:p>
    <w:p>
      <w:pPr>
        <w:pStyle w:val="Normal"/>
        <w:spacing w:before="0" w:after="0"/>
        <w:ind w:left="288"/>
      </w:pPr>
      <w:r>
        <w:rPr>
          <w:rFonts w:ascii="Courier New" w:hAnsi="Courier New"/>
          <w:color w:val="333333"/>
          <w:sz w:val="18"/>
        </w:rPr>
        <w:t>5. Scope confusion: mixing scope 1/2/3 emissions</w:t>
      </w:r>
    </w:p>
    <w:p>
      <w:pPr>
        <w:pStyle w:val="Normal"/>
        <w:spacing w:before="0" w:after="0"/>
        <w:ind w:left="288"/>
      </w:pPr>
      <w:r>
        <w:rPr>
          <w:rFonts w:ascii="Courier New" w:hAnsi="Courier New"/>
          <w:color w:val="333333"/>
          <w:sz w:val="18"/>
        </w:rPr>
        <w:t>6. Inconsistency: commitments vs actual actions</w:t>
      </w:r>
    </w:p>
    <w:p>
      <w:pPr>
        <w:pStyle w:val="Normal"/>
        <w:spacing w:before="0" w:after="0"/>
        <w:ind w:left="288"/>
      </w:pPr>
      <w:r>
        <w:rPr>
          <w:rFonts w:ascii="Courier New" w:hAnsi="Courier New"/>
          <w:color w:val="333333"/>
          <w:sz w:val="18"/>
        </w:rPr>
        <w:t>7. Lack of verification: no third-party or traceable evidence</w:t>
      </w:r>
    </w:p>
    <w:p>
      <w:pPr>
        <w:pStyle w:val="Normal"/>
        <w:spacing w:before="0" w:after="0"/>
        <w:ind w:left="288"/>
      </w:pPr>
      <w:r>
        <w:rPr>
          <w:rFonts w:ascii="Courier New" w:hAnsi="Courier New"/>
          <w:color w:val="333333"/>
          <w:sz w:val="18"/>
        </w:rPr>
        <w:t>{knowledge_context}</w:t>
      </w:r>
    </w:p>
    <w:p>
      <w:pPr>
        <w:pStyle w:val="Normal"/>
        <w:spacing w:before="0" w:after="0"/>
        <w:ind w:left="288"/>
      </w:pPr>
      <w:r>
        <w:rPr>
          <w:rFonts w:ascii="Courier New" w:hAnsi="Courier New"/>
          <w:color w:val="333333"/>
          <w:sz w:val="18"/>
        </w:rPr>
        <w:t>Text:</w:t>
      </w:r>
    </w:p>
    <w:p>
      <w:pPr>
        <w:pStyle w:val="Normal"/>
        <w:spacing w:before="0" w:after="0"/>
        <w:ind w:left="288"/>
      </w:pPr>
      <w:r>
        <w:rPr>
          <w:rFonts w:ascii="Courier New" w:hAnsi="Courier New"/>
          <w:color w:val="333333"/>
          <w:sz w:val="18"/>
        </w:rPr>
        <w:t>{chunk_text}</w:t>
      </w:r>
    </w:p>
    <w:p>
      <w:pPr>
        <w:pStyle w:val="Normal"/>
        <w:spacing w:before="0" w:after="0"/>
        <w:ind w:left="288"/>
      </w:pPr>
      <w:r>
        <w:rPr>
          <w:rFonts w:ascii="Courier New" w:hAnsi="Courier New"/>
          <w:color w:val="333333"/>
          <w:sz w:val="18"/>
        </w:rPr>
        <w:t>Output format:</w:t>
      </w:r>
    </w:p>
    <w:p>
      <w:pPr>
        <w:pStyle w:val="Normal"/>
        <w:spacing w:before="0" w:after="0"/>
        <w:ind w:left="288"/>
      </w:pPr>
      <w:r>
        <w:rPr>
          <w:rFonts w:ascii="Courier New" w:hAnsi="Courier New"/>
          <w:color w:val="333333"/>
          <w:sz w:val="18"/>
        </w:rPr>
        <w:t>Instruction: [detection instruction: identify greenwashing patterns]</w:t>
      </w:r>
    </w:p>
    <w:p>
      <w:pPr>
        <w:pStyle w:val="Normal"/>
        <w:spacing w:before="0" w:after="0"/>
        <w:ind w:left="288"/>
      </w:pPr>
      <w:r>
        <w:rPr>
          <w:rFonts w:ascii="Courier New" w:hAnsi="Courier New"/>
          <w:color w:val="333333"/>
          <w:sz w:val="18"/>
        </w:rPr>
        <w:t>Answer: [detection result: matched patterns, risk level, evidence chain]</w:t>
      </w:r>
    </w:p>
    <w:p>
      <w:pPr>
        <w:pStyle w:val="Normal"/>
        <w:spacing w:before="0" w:after="0"/>
        <w:ind w:left="288"/>
      </w:pPr>
      <w:r>
        <w:rPr>
          <w:rFonts w:ascii="Courier New" w:hAnsi="Courier New"/>
          <w:color w:val="333333"/>
          <w:sz w:val="18"/>
        </w:rPr>
        <w:t>Output only instruction and answer.</w:t>
      </w:r>
    </w:p>
    <w:p>
      <w:pPr>
        <w:pStyle w:val="Normal"/>
      </w:pPr>
    </w:p>
    <w:p>
      <w:pPr>
        <w:pStyle w:val="Heading2"/>
        <w:jc w:val="left"/>
      </w:pPr>
      <w:r>
        <w:rPr/>
        <w:t>A.3.4 Consistency Verification Expert</w:t>
      </w:r>
    </w:p>
    <w:p>
      <w:pPr>
        <w:pStyle w:val="Normal"/>
        <w:spacing w:before="0" w:after="0"/>
        <w:ind w:left="288"/>
      </w:pPr>
      <w:r>
        <w:rPr>
          <w:rFonts w:ascii="Courier New" w:hAnsi="Courier New"/>
          <w:color w:val="333333"/>
          <w:sz w:val="18"/>
        </w:rPr>
        <w:t>You are a senior ESG consistency verification expert, skilled at detecting</w:t>
      </w:r>
    </w:p>
    <w:p>
      <w:pPr>
        <w:pStyle w:val="Normal"/>
        <w:spacing w:before="0" w:after="0"/>
        <w:ind w:left="288"/>
      </w:pPr>
      <w:r>
        <w:rPr>
          <w:rFonts w:ascii="Courier New" w:hAnsi="Courier New"/>
          <w:color w:val="333333"/>
          <w:sz w:val="18"/>
        </w:rPr>
        <w:t>data contradictions and gaps in reports.</w:t>
      </w:r>
    </w:p>
    <w:p>
      <w:pPr>
        <w:pStyle w:val="Normal"/>
        <w:spacing w:before="0" w:after="0"/>
        <w:ind w:left="288"/>
      </w:pPr>
      <w:r>
        <w:rPr>
          <w:rFonts w:ascii="Courier New" w:hAnsi="Courier New"/>
          <w:color w:val="333333"/>
          <w:sz w:val="18"/>
        </w:rPr>
        <w:t>Task: Generate a consistency verification task (instruction-answer pair)</w:t>
      </w:r>
    </w:p>
    <w:p>
      <w:pPr>
        <w:pStyle w:val="Normal"/>
        <w:spacing w:before="0" w:after="0"/>
        <w:ind w:left="288"/>
      </w:pPr>
      <w:r>
        <w:rPr>
          <w:rFonts w:ascii="Courier New" w:hAnsi="Courier New"/>
          <w:color w:val="333333"/>
          <w:sz w:val="18"/>
        </w:rPr>
        <w:t>from the text.</w:t>
      </w:r>
    </w:p>
    <w:p>
      <w:pPr>
        <w:pStyle w:val="Normal"/>
        <w:spacing w:before="0" w:after="0"/>
        <w:ind w:left="288"/>
      </w:pPr>
      <w:r>
        <w:rPr>
          <w:rFonts w:ascii="Courier New" w:hAnsi="Courier New"/>
          <w:color w:val="333333"/>
          <w:sz w:val="18"/>
        </w:rPr>
        <w:t>Requirements:</w:t>
      </w:r>
    </w:p>
    <w:p>
      <w:pPr>
        <w:pStyle w:val="Normal"/>
        <w:spacing w:before="0" w:after="0"/>
        <w:ind w:left="288"/>
      </w:pPr>
      <w:r>
        <w:rPr>
          <w:rFonts w:ascii="Courier New" w:hAnsi="Courier New"/>
          <w:color w:val="333333"/>
          <w:sz w:val="18"/>
        </w:rPr>
        <w:t>1. Check whether the same data is stated consistently across the text.</w:t>
      </w:r>
    </w:p>
    <w:p>
      <w:pPr>
        <w:pStyle w:val="Normal"/>
        <w:spacing w:before="0" w:after="0"/>
        <w:ind w:left="288"/>
      </w:pPr>
      <w:r>
        <w:rPr>
          <w:rFonts w:ascii="Courier New" w:hAnsi="Courier New"/>
          <w:color w:val="333333"/>
          <w:sz w:val="18"/>
        </w:rPr>
        <w:t>2. Identify contradictions (e.g. scope-1 emissions differing across sections).</w:t>
      </w:r>
    </w:p>
    <w:p>
      <w:pPr>
        <w:pStyle w:val="Normal"/>
        <w:spacing w:before="0" w:after="0"/>
        <w:ind w:left="288"/>
      </w:pPr>
      <w:r>
        <w:rPr>
          <w:rFonts w:ascii="Courier New" w:hAnsi="Courier New"/>
          <w:color w:val="333333"/>
          <w:sz w:val="18"/>
        </w:rPr>
        <w:t>3. Detect "missing data" patterns (only favorable data disclosed).</w:t>
      </w:r>
    </w:p>
    <w:p>
      <w:pPr>
        <w:pStyle w:val="Normal"/>
        <w:spacing w:before="0" w:after="0"/>
        <w:ind w:left="288"/>
      </w:pPr>
      <w:r>
        <w:rPr>
          <w:rFonts w:ascii="Courier New" w:hAnsi="Courier New"/>
          <w:color w:val="333333"/>
          <w:sz w:val="18"/>
        </w:rPr>
        <w:t>4. Produce consistency report.</w:t>
      </w:r>
    </w:p>
    <w:p>
      <w:pPr>
        <w:pStyle w:val="Normal"/>
        <w:spacing w:before="0" w:after="0"/>
        <w:ind w:left="288"/>
      </w:pPr>
      <w:r>
        <w:rPr>
          <w:rFonts w:ascii="Courier New" w:hAnsi="Courier New"/>
          <w:color w:val="333333"/>
          <w:sz w:val="18"/>
        </w:rPr>
        <w:t>{knowledge_context}</w:t>
      </w:r>
    </w:p>
    <w:p>
      <w:pPr>
        <w:pStyle w:val="Normal"/>
        <w:spacing w:before="0" w:after="0"/>
        <w:ind w:left="288"/>
      </w:pPr>
      <w:r>
        <w:rPr>
          <w:rFonts w:ascii="Courier New" w:hAnsi="Courier New"/>
          <w:color w:val="333333"/>
          <w:sz w:val="18"/>
        </w:rPr>
        <w:t>Text:</w:t>
      </w:r>
    </w:p>
    <w:p>
      <w:pPr>
        <w:pStyle w:val="Normal"/>
        <w:spacing w:before="0" w:after="0"/>
        <w:ind w:left="288"/>
      </w:pPr>
      <w:r>
        <w:rPr>
          <w:rFonts w:ascii="Courier New" w:hAnsi="Courier New"/>
          <w:color w:val="333333"/>
          <w:sz w:val="18"/>
        </w:rPr>
        <w:t>{chunk_text}</w:t>
      </w:r>
    </w:p>
    <w:p>
      <w:pPr>
        <w:pStyle w:val="Normal"/>
        <w:spacing w:before="0" w:after="0"/>
        <w:ind w:left="288"/>
      </w:pPr>
      <w:r>
        <w:rPr>
          <w:rFonts w:ascii="Courier New" w:hAnsi="Courier New"/>
          <w:color w:val="333333"/>
          <w:sz w:val="18"/>
        </w:rPr>
        <w:t>Output format:</w:t>
      </w:r>
    </w:p>
    <w:p>
      <w:pPr>
        <w:pStyle w:val="Normal"/>
        <w:spacing w:before="0" w:after="0"/>
        <w:ind w:left="288"/>
      </w:pPr>
      <w:r>
        <w:rPr>
          <w:rFonts w:ascii="Courier New" w:hAnsi="Courier New"/>
          <w:color w:val="333333"/>
          <w:sz w:val="18"/>
        </w:rPr>
        <w:t>Instruction: [verification instruction: check data consistency]</w:t>
      </w:r>
    </w:p>
    <w:p>
      <w:pPr>
        <w:pStyle w:val="Normal"/>
        <w:spacing w:before="0" w:after="0"/>
        <w:ind w:left="288"/>
      </w:pPr>
      <w:r>
        <w:rPr>
          <w:rFonts w:ascii="Courier New" w:hAnsi="Courier New"/>
          <w:color w:val="333333"/>
          <w:sz w:val="18"/>
        </w:rPr>
        <w:t>Answer: [verification result: consistency assessment, contradictions,</w:t>
      </w:r>
    </w:p>
    <w:p>
      <w:pPr>
        <w:pStyle w:val="Normal"/>
        <w:spacing w:before="0" w:after="0"/>
        <w:ind w:left="288"/>
      </w:pPr>
      <w:r>
        <w:rPr>
          <w:rFonts w:ascii="Courier New" w:hAnsi="Courier New"/>
          <w:color w:val="333333"/>
          <w:sz w:val="18"/>
        </w:rPr>
        <w:t xml:space="preserve">         missing patterns]</w:t>
      </w:r>
    </w:p>
    <w:p>
      <w:pPr>
        <w:pStyle w:val="Normal"/>
        <w:spacing w:before="0" w:after="0"/>
        <w:ind w:left="288"/>
      </w:pPr>
      <w:r>
        <w:rPr>
          <w:rFonts w:ascii="Courier New" w:hAnsi="Courier New"/>
          <w:color w:val="333333"/>
          <w:sz w:val="18"/>
        </w:rPr>
        <w:t>Output only instruction and answer.</w:t>
      </w:r>
    </w:p>
    <w:p>
      <w:pPr>
        <w:pStyle w:val="Normal"/>
      </w:pPr>
    </w:p>
    <w:p>
      <w:pPr>
        <w:pStyle w:val="Heading2"/>
        <w:jc w:val="left"/>
      </w:pPr>
      <w:r>
        <w:rPr/>
        <w:t>A.3.5 Summary of All 11 Experts</w:t>
      </w:r>
    </w:p>
    <w:p>
      <w:pPr>
        <w:pStyle w:val="Normal"/>
      </w:pPr>
      <w:r>
        <w:rPr/>
        <w:t>Table 2 summarizes the role and output format of each expert agent. All experts share the same prompt structure (persona + task + requirements + knowledge context + chunk text + output format); only the specific task description and output labels differ.</w:t>
      </w:r>
    </w:p>
    <w:tbl>
      <w:tblPr>
        <w:tblStyle w:val="TableGrid"/>
        <w:tblW w:type="auto" w:w="0"/>
        <w:tblLook w:firstColumn="1" w:firstRow="1" w:lastColumn="0" w:lastRow="0" w:noHBand="0" w:noVBand="1" w:val="04A0"/>
      </w:tblPr>
      <w:tblGrid>
        <w:gridCol w:w="2880"/>
        <w:gridCol w:w="2880"/>
        <w:gridCol w:w="2880"/>
      </w:tblGrid>
      <w:tr>
        <w:tc>
          <w:tcPr>
            <w:tcW w:type="dxa" w:w="2880"/>
            <w:shd w:fill="E7E6E6"/>
          </w:tcPr>
          <w:p>
            <w:r>
              <w:rPr>
                <w:b/>
                <w:sz w:val="18"/>
              </w:rPr>
              <w:t>Expert</w:t>
            </w:r>
          </w:p>
        </w:tc>
        <w:tc>
          <w:tcPr>
            <w:tcW w:type="dxa" w:w="2880"/>
            <w:shd w:fill="E7E6E6"/>
          </w:tcPr>
          <w:p>
            <w:r>
              <w:rPr>
                <w:b/>
                <w:sz w:val="18"/>
              </w:rPr>
              <w:t>Core Task</w:t>
            </w:r>
          </w:p>
        </w:tc>
        <w:tc>
          <w:tcPr>
            <w:tcW w:type="dxa" w:w="2880"/>
            <w:shd w:fill="E7E6E6"/>
          </w:tcPr>
          <w:p>
            <w:r>
              <w:rPr>
                <w:b/>
                <w:sz w:val="18"/>
              </w:rPr>
              <w:t>Output Labels</w:t>
            </w:r>
          </w:p>
        </w:tc>
      </w:tr>
      <w:tr>
        <w:tc>
          <w:tcPr>
            <w:tcW w:type="dxa" w:w="2880"/>
          </w:tcPr>
          <w:p>
            <w:r>
              <w:rPr>
                <w:sz w:val="18"/>
              </w:rPr>
              <w:t>Q&amp;A Expert</w:t>
            </w:r>
          </w:p>
        </w:tc>
        <w:tc>
          <w:tcPr>
            <w:tcW w:type="dxa" w:w="2880"/>
          </w:tcPr>
          <w:p>
            <w:r>
              <w:rPr>
                <w:sz w:val="18"/>
              </w:rPr>
              <w:t>Generate a specific question–answer pair grounded in the text.</w:t>
            </w:r>
          </w:p>
        </w:tc>
        <w:tc>
          <w:tcPr>
            <w:tcW w:type="dxa" w:w="2880"/>
          </w:tcPr>
          <w:p>
            <w:r>
              <w:rPr>
                <w:sz w:val="18"/>
              </w:rPr>
              <w:t>Question / Answer</w:t>
            </w:r>
          </w:p>
        </w:tc>
      </w:tr>
      <w:tr>
        <w:tc>
          <w:tcPr>
            <w:tcW w:type="dxa" w:w="2880"/>
          </w:tcPr>
          <w:p>
            <w:r>
              <w:rPr>
                <w:sz w:val="18"/>
              </w:rPr>
              <w:t>Summary Expert</w:t>
            </w:r>
          </w:p>
        </w:tc>
        <w:tc>
          <w:tcPr>
            <w:tcW w:type="dxa" w:w="2880"/>
          </w:tcPr>
          <w:p>
            <w:r>
              <w:rPr>
                <w:sz w:val="18"/>
              </w:rPr>
              <w:t>Generate a summarization task (100–200 words) highlighting ESG content.</w:t>
            </w:r>
          </w:p>
        </w:tc>
        <w:tc>
          <w:tcPr>
            <w:tcW w:type="dxa" w:w="2880"/>
          </w:tcPr>
          <w:p>
            <w:r>
              <w:rPr>
                <w:sz w:val="18"/>
              </w:rPr>
              <w:t>Instruction / Summary</w:t>
            </w:r>
          </w:p>
        </w:tc>
      </w:tr>
      <w:tr>
        <w:tc>
          <w:tcPr>
            <w:tcW w:type="dxa" w:w="2880"/>
          </w:tcPr>
          <w:p>
            <w:r>
              <w:rPr>
                <w:sz w:val="18"/>
              </w:rPr>
              <w:t>Extraction Expert</w:t>
            </w:r>
          </w:p>
        </w:tc>
        <w:tc>
          <w:tcPr>
            <w:tcW w:type="dxa" w:w="2880"/>
          </w:tcPr>
          <w:p>
            <w:r>
              <w:rPr>
                <w:sz w:val="18"/>
              </w:rPr>
              <w:t>Extract structured ESG information (emissions, employee count, etc.).</w:t>
            </w:r>
          </w:p>
        </w:tc>
        <w:tc>
          <w:tcPr>
            <w:tcW w:type="dxa" w:w="2880"/>
          </w:tcPr>
          <w:p>
            <w:r>
              <w:rPr>
                <w:sz w:val="18"/>
              </w:rPr>
              <w:t>Instruction / Extraction result</w:t>
            </w:r>
          </w:p>
        </w:tc>
      </w:tr>
      <w:tr>
        <w:tc>
          <w:tcPr>
            <w:tcW w:type="dxa" w:w="2880"/>
          </w:tcPr>
          <w:p>
            <w:r>
              <w:rPr>
                <w:sz w:val="18"/>
              </w:rPr>
              <w:t>Classification Expert</w:t>
            </w:r>
          </w:p>
        </w:tc>
        <w:tc>
          <w:tcPr>
            <w:tcW w:type="dxa" w:w="2880"/>
          </w:tcPr>
          <w:p>
            <w:r>
              <w:rPr>
                <w:sz w:val="18"/>
              </w:rPr>
              <w:t>Classify text by ESG dimension (E/S/G/Mixed) with rationale.</w:t>
            </w:r>
          </w:p>
        </w:tc>
        <w:tc>
          <w:tcPr>
            <w:tcW w:type="dxa" w:w="2880"/>
          </w:tcPr>
          <w:p>
            <w:r>
              <w:rPr>
                <w:sz w:val="18"/>
              </w:rPr>
              <w:t>Instruction / Classification result</w:t>
            </w:r>
          </w:p>
        </w:tc>
      </w:tr>
      <w:tr>
        <w:tc>
          <w:tcPr>
            <w:tcW w:type="dxa" w:w="2880"/>
          </w:tcPr>
          <w:p>
            <w:r>
              <w:rPr>
                <w:sz w:val="18"/>
              </w:rPr>
              <w:t>Analysis Expert</w:t>
            </w:r>
          </w:p>
        </w:tc>
        <w:tc>
          <w:tcPr>
            <w:tcW w:type="dxa" w:w="2880"/>
          </w:tcPr>
          <w:p>
            <w:r>
              <w:rPr>
                <w:sz w:val="18"/>
              </w:rPr>
              <w:t>Provide in-depth cross-domain analysis and critical assessment.</w:t>
            </w:r>
          </w:p>
        </w:tc>
        <w:tc>
          <w:tcPr>
            <w:tcW w:type="dxa" w:w="2880"/>
          </w:tcPr>
          <w:p>
            <w:r>
              <w:rPr>
                <w:sz w:val="18"/>
              </w:rPr>
              <w:t>Instruction / Analysis result</w:t>
            </w:r>
          </w:p>
        </w:tc>
      </w:tr>
      <w:tr>
        <w:tc>
          <w:tcPr>
            <w:tcW w:type="dxa" w:w="2880"/>
          </w:tcPr>
          <w:p>
            <w:r>
              <w:rPr>
                <w:sz w:val="18"/>
              </w:rPr>
              <w:t>Temporal Analysis Expert</w:t>
            </w:r>
          </w:p>
        </w:tc>
        <w:tc>
          <w:tcPr>
            <w:tcW w:type="dxa" w:w="2880"/>
          </w:tcPr>
          <w:p>
            <w:r>
              <w:rPr>
                <w:sz w:val="18"/>
              </w:rPr>
              <w:t>Analyze multi-year trends, commitment consistency, and data gaps.</w:t>
            </w:r>
          </w:p>
        </w:tc>
        <w:tc>
          <w:tcPr>
            <w:tcW w:type="dxa" w:w="2880"/>
          </w:tcPr>
          <w:p>
            <w:r>
              <w:rPr>
                <w:sz w:val="18"/>
              </w:rPr>
              <w:t>Instruction / Answer</w:t>
            </w:r>
          </w:p>
        </w:tc>
      </w:tr>
      <w:tr>
        <w:tc>
          <w:tcPr>
            <w:tcW w:type="dxa" w:w="2880"/>
          </w:tcPr>
          <w:p>
            <w:r>
              <w:rPr>
                <w:sz w:val="18"/>
              </w:rPr>
              <w:t>Benchmark Comparison Expert</w:t>
            </w:r>
          </w:p>
        </w:tc>
        <w:tc>
          <w:tcPr>
            <w:tcW w:type="dxa" w:w="2880"/>
          </w:tcPr>
          <w:p>
            <w:r>
              <w:rPr>
                <w:sz w:val="18"/>
              </w:rPr>
              <w:t>Compare company data against industry averages and flag anomalies.</w:t>
            </w:r>
          </w:p>
        </w:tc>
        <w:tc>
          <w:tcPr>
            <w:tcW w:type="dxa" w:w="2880"/>
          </w:tcPr>
          <w:p>
            <w:r>
              <w:rPr>
                <w:sz w:val="18"/>
              </w:rPr>
              <w:t>Instruction / Answer</w:t>
            </w:r>
          </w:p>
        </w:tc>
      </w:tr>
      <w:tr>
        <w:tc>
          <w:tcPr>
            <w:tcW w:type="dxa" w:w="2880"/>
          </w:tcPr>
          <w:p>
            <w:r>
              <w:rPr>
                <w:sz w:val="18"/>
              </w:rPr>
              <w:t>Greenwashing Detection Expert</w:t>
            </w:r>
          </w:p>
        </w:tc>
        <w:tc>
          <w:tcPr>
            <w:tcW w:type="dxa" w:w="2880"/>
          </w:tcPr>
          <w:p>
            <w:r>
              <w:rPr>
                <w:sz w:val="18"/>
              </w:rPr>
              <w:t>Identify misleading claims and quantify greenwashing risk.</w:t>
            </w:r>
          </w:p>
        </w:tc>
        <w:tc>
          <w:tcPr>
            <w:tcW w:type="dxa" w:w="2880"/>
          </w:tcPr>
          <w:p>
            <w:r>
              <w:rPr>
                <w:sz w:val="18"/>
              </w:rPr>
              <w:t>Instruction / Answer</w:t>
            </w:r>
          </w:p>
        </w:tc>
      </w:tr>
      <w:tr>
        <w:tc>
          <w:tcPr>
            <w:tcW w:type="dxa" w:w="2880"/>
          </w:tcPr>
          <w:p>
            <w:r>
              <w:rPr>
                <w:sz w:val="18"/>
              </w:rPr>
              <w:t>Standard Alignment Expert</w:t>
            </w:r>
          </w:p>
        </w:tc>
        <w:tc>
          <w:tcPr>
            <w:tcW w:type="dxa" w:w="2880"/>
          </w:tcPr>
          <w:p>
            <w:r>
              <w:rPr>
                <w:sz w:val="18"/>
              </w:rPr>
              <w:t>Identify followed standards (GRI, TCFD, SASB, etc.) and compliance gaps.</w:t>
            </w:r>
          </w:p>
        </w:tc>
        <w:tc>
          <w:tcPr>
            <w:tcW w:type="dxa" w:w="2880"/>
          </w:tcPr>
          <w:p>
            <w:r>
              <w:rPr>
                <w:sz w:val="18"/>
              </w:rPr>
              <w:t>Instruction / Answer</w:t>
            </w:r>
          </w:p>
        </w:tc>
      </w:tr>
      <w:tr>
        <w:tc>
          <w:tcPr>
            <w:tcW w:type="dxa" w:w="2880"/>
          </w:tcPr>
          <w:p>
            <w:r>
              <w:rPr>
                <w:sz w:val="18"/>
              </w:rPr>
              <w:t>Knowledge Graph Expert</w:t>
            </w:r>
          </w:p>
        </w:tc>
        <w:tc>
          <w:tcPr>
            <w:tcW w:type="dxa" w:w="2880"/>
          </w:tcPr>
          <w:p>
            <w:r>
              <w:rPr>
                <w:sz w:val="18"/>
              </w:rPr>
              <w:t>Extract entities and relations; detect broken commitment–action links.</w:t>
            </w:r>
          </w:p>
        </w:tc>
        <w:tc>
          <w:tcPr>
            <w:tcW w:type="dxa" w:w="2880"/>
          </w:tcPr>
          <w:p>
            <w:r>
              <w:rPr>
                <w:sz w:val="18"/>
              </w:rPr>
              <w:t>Instruction / Answer</w:t>
            </w:r>
          </w:p>
        </w:tc>
      </w:tr>
      <w:tr>
        <w:tc>
          <w:tcPr>
            <w:tcW w:type="dxa" w:w="2880"/>
          </w:tcPr>
          <w:p>
            <w:r>
              <w:rPr>
                <w:sz w:val="18"/>
              </w:rPr>
              <w:t>Consistency Verification Expert</w:t>
            </w:r>
          </w:p>
        </w:tc>
        <w:tc>
          <w:tcPr>
            <w:tcW w:type="dxa" w:w="2880"/>
          </w:tcPr>
          <w:p>
            <w:r>
              <w:rPr>
                <w:sz w:val="18"/>
              </w:rPr>
              <w:t>Detect data contradictions and selective disclosure patterns.</w:t>
            </w:r>
          </w:p>
        </w:tc>
        <w:tc>
          <w:tcPr>
            <w:tcW w:type="dxa" w:w="2880"/>
          </w:tcPr>
          <w:p>
            <w:r>
              <w:rPr>
                <w:sz w:val="18"/>
              </w:rPr>
              <w:t>Instruction / Answer</w:t>
            </w:r>
          </w:p>
        </w:tc>
      </w:tr>
    </w:tbl>
    <w:p>
      <w:pPr>
        <w:pStyle w:val="Heading2"/>
        <w:jc w:val="left"/>
      </w:pPr>
      <w:r>
        <w:rPr/>
        <w:t>A.3.6 MetaExpert Orchestrator</w:t>
      </w:r>
    </w:p>
    <w:p>
      <w:pPr>
        <w:pStyle w:val="Normal"/>
      </w:pPr>
      <w:r>
        <w:rPr/>
        <w:t>The MetaExpert designs work instructions for subordinate experts, evaluates their outputs, and provides iterative feedback. Its prompt dynamically incorporates the target expert type, core topics, chunk preview, and collaboration context.</w:t>
      </w:r>
    </w:p>
    <w:p>
      <w:pPr>
        <w:pStyle w:val="Normal"/>
        <w:spacing w:before="0" w:after="0"/>
        <w:ind w:left="288"/>
      </w:pPr>
      <w:r>
        <w:rPr>
          <w:rFonts w:ascii="Courier New" w:hAnsi="Courier New"/>
          <w:color w:val="333333"/>
          <w:sz w:val="18"/>
        </w:rPr>
        <w:t># Role</w:t>
      </w:r>
    </w:p>
    <w:p>
      <w:pPr>
        <w:pStyle w:val="Normal"/>
        <w:spacing w:before="0" w:after="0"/>
        <w:ind w:left="288"/>
      </w:pPr>
      <w:r>
        <w:rPr>
          <w:rFonts w:ascii="Courier New" w:hAnsi="Courier New"/>
          <w:color w:val="333333"/>
          <w:sz w:val="18"/>
        </w:rPr>
        <w:t>You are a top carbon-strategy analyst. Your task is to evaluate all</w:t>
      </w:r>
    </w:p>
    <w:p>
      <w:pPr>
        <w:pStyle w:val="Normal"/>
        <w:spacing w:before="0" w:after="0"/>
        <w:ind w:left="288"/>
      </w:pPr>
      <w:r>
        <w:rPr>
          <w:rFonts w:ascii="Courier New" w:hAnsi="Courier New"/>
          <w:color w:val="333333"/>
          <w:sz w:val="18"/>
        </w:rPr>
        <w:t>information related to the company's carbon emissions and carbon-reduction</w:t>
      </w:r>
    </w:p>
    <w:p>
      <w:pPr>
        <w:pStyle w:val="Normal"/>
        <w:spacing w:before="0" w:after="0"/>
        <w:ind w:left="288"/>
      </w:pPr>
      <w:r>
        <w:rPr>
          <w:rFonts w:ascii="Courier New" w:hAnsi="Courier New"/>
          <w:color w:val="333333"/>
          <w:sz w:val="18"/>
        </w:rPr>
        <w:t>commitments. Now design one work instruction for a subordinate analyst.</w:t>
      </w:r>
    </w:p>
    <w:p>
      <w:pPr>
        <w:pStyle w:val="Normal"/>
        <w:spacing w:before="0" w:after="0"/>
        <w:ind w:left="288"/>
      </w:pPr>
      <w:r>
        <w:rPr>
          <w:rFonts w:ascii="Courier New" w:hAnsi="Courier New"/>
          <w:color w:val="333333"/>
          <w:sz w:val="18"/>
        </w:rPr>
      </w:r>
    </w:p>
    <w:p>
      <w:pPr>
        <w:pStyle w:val="Normal"/>
        <w:spacing w:before="0" w:after="0"/>
        <w:ind w:left="288"/>
      </w:pPr>
      <w:r>
        <w:rPr>
          <w:rFonts w:ascii="Courier New" w:hAnsi="Courier New"/>
          <w:color w:val="333333"/>
          <w:sz w:val="18"/>
        </w:rPr>
        <w:t># Context</w:t>
      </w:r>
    </w:p>
    <w:p>
      <w:pPr>
        <w:pStyle w:val="Normal"/>
        <w:spacing w:before="0" w:after="0"/>
        <w:ind w:left="288"/>
      </w:pPr>
      <w:r>
        <w:rPr>
          <w:rFonts w:ascii="Courier New" w:hAnsi="Courier New"/>
          <w:color w:val="333333"/>
          <w:sz w:val="18"/>
        </w:rPr>
        <w:t>- Subordinate role: {expert_type} ({expert_desc})</w:t>
      </w:r>
    </w:p>
    <w:p>
      <w:pPr>
        <w:pStyle w:val="Normal"/>
        <w:spacing w:before="0" w:after="0"/>
        <w:ind w:left="288"/>
      </w:pPr>
      <w:r>
        <w:rPr>
          <w:rFonts w:ascii="Courier New" w:hAnsi="Courier New"/>
          <w:color w:val="333333"/>
          <w:sz w:val="18"/>
        </w:rPr>
        <w:t>- Chunk is from report section [{section_name}]</w:t>
      </w:r>
    </w:p>
    <w:p>
      <w:pPr>
        <w:pStyle w:val="Normal"/>
        <w:spacing w:before="0" w:after="0"/>
        <w:ind w:left="288"/>
      </w:pPr>
      <w:r>
        <w:rPr>
          <w:rFonts w:ascii="Courier New" w:hAnsi="Courier New"/>
          <w:color w:val="333333"/>
          <w:sz w:val="18"/>
        </w:rPr>
        <w:t>- Core topics: {topics_str}</w:t>
      </w:r>
    </w:p>
    <w:p>
      <w:pPr>
        <w:pStyle w:val="Normal"/>
        <w:spacing w:before="0" w:after="0"/>
        <w:ind w:left="288"/>
      </w:pPr>
      <w:r>
        <w:rPr>
          <w:rFonts w:ascii="Courier New" w:hAnsi="Courier New"/>
          <w:color w:val="333333"/>
          <w:sz w:val="18"/>
        </w:rPr>
        <w:t>- Preview: {chunk_text[:500]}...</w:t>
      </w:r>
    </w:p>
    <w:p>
      <w:pPr>
        <w:pStyle w:val="Normal"/>
        <w:spacing w:before="0" w:after="0"/>
        <w:ind w:left="288"/>
      </w:pPr>
      <w:r>
        <w:rPr>
          <w:rFonts w:ascii="Courier New" w:hAnsi="Courier New"/>
          <w:color w:val="333333"/>
          <w:sz w:val="18"/>
        </w:rPr>
        <w:t>- Collaboration: This run uses multiple experts: {all_experts}</w:t>
      </w:r>
    </w:p>
    <w:p>
      <w:pPr>
        <w:pStyle w:val="Normal"/>
        <w:spacing w:before="0" w:after="0"/>
        <w:ind w:left="288"/>
      </w:pPr>
      <w:r>
        <w:rPr>
          <w:rFonts w:ascii="Courier New" w:hAnsi="Courier New"/>
          <w:color w:val="333333"/>
          <w:sz w:val="18"/>
        </w:rPr>
        <w:t xml:space="preserve">  Current expert: {expert_type}; Others: {other_experts}</w:t>
      </w:r>
    </w:p>
    <w:p>
      <w:pPr>
        <w:pStyle w:val="Normal"/>
        <w:spacing w:before="0" w:after="0"/>
        <w:ind w:left="288"/>
      </w:pPr>
      <w:r>
        <w:rPr>
          <w:rFonts w:ascii="Courier New" w:hAnsi="Courier New"/>
          <w:color w:val="333333"/>
          <w:sz w:val="18"/>
        </w:rPr>
        <w:t xml:space="preserve">  Requirement: Your instruction should match {expert_type}'s role and</w:t>
      </w:r>
    </w:p>
    <w:p>
      <w:pPr>
        <w:pStyle w:val="Normal"/>
        <w:spacing w:before="0" w:after="0"/>
        <w:ind w:left="288"/>
      </w:pPr>
      <w:r>
        <w:rPr>
          <w:rFonts w:ascii="Courier New" w:hAnsi="Courier New"/>
          <w:color w:val="333333"/>
          <w:sz w:val="18"/>
        </w:rPr>
        <w:t xml:space="preserve">  complement others (avoid duplication).</w:t>
      </w:r>
    </w:p>
    <w:p>
      <w:pPr>
        <w:pStyle w:val="Normal"/>
        <w:spacing w:before="0" w:after="0"/>
        <w:ind w:left="288"/>
      </w:pPr>
      <w:r>
        <w:rPr>
          <w:rFonts w:ascii="Courier New" w:hAnsi="Courier New"/>
          <w:color w:val="333333"/>
          <w:sz w:val="18"/>
        </w:rPr>
      </w:r>
    </w:p>
    <w:p>
      <w:pPr>
        <w:pStyle w:val="Normal"/>
        <w:spacing w:before="0" w:after="0"/>
        <w:ind w:left="288"/>
      </w:pPr>
      <w:r>
        <w:rPr>
          <w:rFonts w:ascii="Courier New" w:hAnsi="Courier New"/>
          <w:color w:val="333333"/>
          <w:sz w:val="18"/>
        </w:rPr>
        <w:t># Task</w:t>
      </w:r>
    </w:p>
    <w:p>
      <w:pPr>
        <w:pStyle w:val="Normal"/>
        <w:spacing w:before="0" w:after="0"/>
        <w:ind w:left="288"/>
      </w:pPr>
      <w:r>
        <w:rPr>
          <w:rFonts w:ascii="Courier New" w:hAnsi="Courier New"/>
          <w:color w:val="333333"/>
          <w:sz w:val="18"/>
        </w:rPr>
        <w:t>Generate one work instruction for this analyst. The instruction must:</w:t>
      </w:r>
    </w:p>
    <w:p>
      <w:pPr>
        <w:pStyle w:val="Normal"/>
        <w:spacing w:before="0" w:after="0"/>
        <w:ind w:left="288"/>
      </w:pPr>
      <w:r>
        <w:rPr>
          <w:rFonts w:ascii="Courier New" w:hAnsi="Courier New"/>
          <w:color w:val="333333"/>
          <w:sz w:val="18"/>
        </w:rPr>
        <w:t>1. Carbon-centric: lead to assessing carbon performance or commitment credibility.</w:t>
      </w:r>
    </w:p>
    <w:p>
      <w:pPr>
        <w:pStyle w:val="Normal"/>
        <w:spacing w:before="0" w:after="0"/>
        <w:ind w:left="288"/>
      </w:pPr>
      <w:r>
        <w:rPr>
          <w:rFonts w:ascii="Courier New" w:hAnsi="Courier New"/>
          <w:color w:val="333333"/>
          <w:sz w:val="18"/>
        </w:rPr>
        <w:t>2. Cross-domain: use information in this chunk as evidence for carbon strategy.</w:t>
      </w:r>
    </w:p>
    <w:p>
      <w:pPr>
        <w:pStyle w:val="Normal"/>
        <w:spacing w:before="0" w:after="0"/>
        <w:ind w:left="288"/>
      </w:pPr>
      <w:r>
        <w:rPr>
          <w:rFonts w:ascii="Courier New" w:hAnsi="Courier New"/>
          <w:color w:val="333333"/>
          <w:sz w:val="18"/>
        </w:rPr>
        <w:t>3. Depth: guide the analyst to compare, evaluate, predict, or critique</w:t>
      </w:r>
    </w:p>
    <w:p>
      <w:pPr>
        <w:pStyle w:val="Normal"/>
        <w:spacing w:before="0" w:after="0"/>
        <w:ind w:left="288"/>
      </w:pPr>
      <w:r>
        <w:rPr>
          <w:rFonts w:ascii="Courier New" w:hAnsi="Courier New"/>
          <w:color w:val="333333"/>
          <w:sz w:val="18"/>
        </w:rPr>
        <w:t xml:space="preserve">   -- not just extract.</w:t>
      </w:r>
    </w:p>
    <w:p>
      <w:pPr>
        <w:pStyle w:val="Normal"/>
        <w:spacing w:before="0" w:after="0"/>
        <w:ind w:left="288"/>
      </w:pPr>
      <w:r>
        <w:rPr>
          <w:rFonts w:ascii="Courier New" w:hAnsi="Courier New"/>
          <w:color w:val="333333"/>
          <w:sz w:val="18"/>
        </w:rPr>
      </w:r>
    </w:p>
    <w:p>
      <w:pPr>
        <w:pStyle w:val="Normal"/>
        <w:spacing w:before="0" w:after="0"/>
        <w:ind w:left="288"/>
      </w:pPr>
      <w:r>
        <w:rPr>
          <w:rFonts w:ascii="Courier New" w:hAnsi="Courier New"/>
          <w:color w:val="333333"/>
          <w:sz w:val="18"/>
        </w:rPr>
        <w:t># Output</w:t>
      </w:r>
    </w:p>
    <w:p>
      <w:pPr>
        <w:pStyle w:val="Normal"/>
        <w:spacing w:before="0" w:after="0"/>
        <w:ind w:left="288"/>
      </w:pPr>
      <w:r>
        <w:rPr>
          <w:rFonts w:ascii="Courier New" w:hAnsi="Courier New"/>
          <w:color w:val="333333"/>
          <w:sz w:val="18"/>
        </w:rPr>
        <w:t>Work instruction:</w:t>
      </w:r>
    </w:p>
    <w:p>
      <w:pPr>
        <w:pStyle w:val="Normal"/>
      </w:pPr>
    </w:p>
    <w:p>
      <w:pPr>
        <w:pStyle w:val="Normal"/>
      </w:pPr>
      <w:r>
        <w:rPr>
          <w:b/>
        </w:rPr>
        <w:t xml:space="preserve">Feedback round. </w:t>
      </w:r>
      <w:r>
        <w:rPr/>
        <w:t>After receiving the expert's output, the MetaExpert runs a quality-assessment prompt (not shown for brevity) that scores correctness, completeness, relevance, and structure on a 0–1 scale. If any dimension falls below threshold, a refined work instruction is generated and the expert re-executes, up to R=2 rounds.</w:t>
      </w:r>
    </w:p>
    <w:p>
      <w:pPr>
        <w:pStyle w:val="Normal"/>
      </w:pPr>
      <w:r>
        <w:rPr/>
      </w:r>
    </w:p>
    <w:p>
      <w:pPr>
        <w:pStyle w:val="Heading1"/>
        <w:jc w:val="left"/>
      </w:pPr>
      <w:r>
        <w:rPr/>
        <w:t>A.4 Hyperparameters</w:t>
      </w:r>
    </w:p>
    <w:p>
      <w:pPr>
        <w:pStyle w:val="Normal"/>
      </w:pPr>
      <w:r>
        <w:rPr/>
        <w:t>Table 3 lists all fixed hyperparameters used in the experiments. All random sampling steps use random.seed(42).</w:t>
      </w:r>
    </w:p>
    <w:tbl>
      <w:tblPr>
        <w:tblStyle w:val="TableGrid"/>
        <w:tblW w:type="auto" w:w="0"/>
        <w:tblLook w:firstColumn="1" w:firstRow="1" w:lastColumn="0" w:lastRow="0" w:noHBand="0" w:noVBand="1" w:val="04A0"/>
      </w:tblPr>
      <w:tblGrid>
        <w:gridCol w:w="2880"/>
        <w:gridCol w:w="2880"/>
        <w:gridCol w:w="2880"/>
      </w:tblGrid>
      <w:tr>
        <w:tc>
          <w:tcPr>
            <w:tcW w:type="dxa" w:w="2880"/>
            <w:shd w:fill="E7E6E6"/>
          </w:tcPr>
          <w:p>
            <w:r>
              <w:rPr>
                <w:b/>
                <w:sz w:val="18"/>
              </w:rPr>
              <w:t>Parameter</w:t>
            </w:r>
          </w:p>
        </w:tc>
        <w:tc>
          <w:tcPr>
            <w:tcW w:type="dxa" w:w="2880"/>
            <w:shd w:fill="E7E6E6"/>
          </w:tcPr>
          <w:p>
            <w:r>
              <w:rPr>
                <w:b/>
                <w:sz w:val="18"/>
              </w:rPr>
              <w:t>Value</w:t>
            </w:r>
          </w:p>
        </w:tc>
        <w:tc>
          <w:tcPr>
            <w:tcW w:type="dxa" w:w="2880"/>
            <w:shd w:fill="E7E6E6"/>
          </w:tcPr>
          <w:p>
            <w:r>
              <w:rPr>
                <w:b/>
                <w:sz w:val="18"/>
              </w:rPr>
              <w:t>Source File</w:t>
            </w:r>
          </w:p>
        </w:tc>
      </w:tr>
      <w:tr>
        <w:tc>
          <w:tcPr>
            <w:tcW w:type="dxa" w:w="2880"/>
          </w:tcPr>
          <w:p>
            <w:r>
              <w:rPr>
                <w:sz w:val="18"/>
              </w:rPr>
              <w:t>Base model</w:t>
            </w:r>
          </w:p>
        </w:tc>
        <w:tc>
          <w:tcPr>
            <w:tcW w:type="dxa" w:w="2880"/>
          </w:tcPr>
          <w:p>
            <w:r>
              <w:rPr>
                <w:sz w:val="18"/>
              </w:rPr>
              <w:t>Qwen2-72B-Instruct</w:t>
            </w:r>
          </w:p>
        </w:tc>
        <w:tc>
          <w:tcPr>
            <w:tcW w:type="dxa" w:w="2880"/>
          </w:tcPr>
          <w:p>
            <w:r>
              <w:rPr>
                <w:sz w:val="18"/>
              </w:rPr>
              <w:t>configs/config.yaml</w:t>
            </w:r>
          </w:p>
        </w:tc>
      </w:tr>
      <w:tr>
        <w:tc>
          <w:tcPr>
            <w:tcW w:type="dxa" w:w="2880"/>
          </w:tcPr>
          <w:p>
            <w:r>
              <w:rPr>
                <w:sz w:val="18"/>
              </w:rPr>
              <w:t>Quantization</w:t>
            </w:r>
          </w:p>
        </w:tc>
        <w:tc>
          <w:tcPr>
            <w:tcW w:type="dxa" w:w="2880"/>
          </w:tcPr>
          <w:p>
            <w:r>
              <w:rPr>
                <w:sz w:val="18"/>
              </w:rPr>
              <w:t>4-bit (NF4)</w:t>
            </w:r>
          </w:p>
        </w:tc>
        <w:tc>
          <w:tcPr>
            <w:tcW w:type="dxa" w:w="2880"/>
          </w:tcPr>
          <w:p>
            <w:r>
              <w:rPr>
                <w:sz w:val="18"/>
              </w:rPr>
              <w:t>Unsloth default</w:t>
            </w:r>
          </w:p>
        </w:tc>
      </w:tr>
      <w:tr>
        <w:tc>
          <w:tcPr>
            <w:tcW w:type="dxa" w:w="2880"/>
          </w:tcPr>
          <w:p>
            <w:r>
              <w:rPr>
                <w:sz w:val="18"/>
              </w:rPr>
              <w:t>Temperature</w:t>
            </w:r>
          </w:p>
        </w:tc>
        <w:tc>
          <w:tcPr>
            <w:tcW w:type="dxa" w:w="2880"/>
          </w:tcPr>
          <w:p>
            <w:r>
              <w:rPr>
                <w:sz w:val="18"/>
              </w:rPr>
              <w:t>0.7</w:t>
            </w:r>
          </w:p>
        </w:tc>
        <w:tc>
          <w:tcPr>
            <w:tcW w:type="dxa" w:w="2880"/>
          </w:tcPr>
          <w:p>
            <w:r>
              <w:rPr>
                <w:sz w:val="18"/>
              </w:rPr>
              <w:t>coe_framework_02_03.py</w:t>
            </w:r>
          </w:p>
        </w:tc>
      </w:tr>
      <w:tr>
        <w:tc>
          <w:tcPr>
            <w:tcW w:type="dxa" w:w="2880"/>
          </w:tcPr>
          <w:p>
            <w:r>
              <w:rPr>
                <w:sz w:val="18"/>
              </w:rPr>
              <w:t>Max new tokens (instruction)</w:t>
            </w:r>
          </w:p>
        </w:tc>
        <w:tc>
          <w:tcPr>
            <w:tcW w:type="dxa" w:w="2880"/>
          </w:tcPr>
          <w:p>
            <w:r>
              <w:rPr>
                <w:sz w:val="18"/>
              </w:rPr>
              <w:t>512</w:t>
            </w:r>
          </w:p>
        </w:tc>
        <w:tc>
          <w:tcPr>
            <w:tcW w:type="dxa" w:w="2880"/>
          </w:tcPr>
          <w:p>
            <w:r>
              <w:rPr>
                <w:sz w:val="18"/>
              </w:rPr>
              <w:t>---</w:t>
            </w:r>
          </w:p>
        </w:tc>
      </w:tr>
      <w:tr>
        <w:tc>
          <w:tcPr>
            <w:tcW w:type="dxa" w:w="2880"/>
          </w:tcPr>
          <w:p>
            <w:r>
              <w:rPr>
                <w:sz w:val="18"/>
              </w:rPr>
              <w:t>Max new tokens (response)</w:t>
            </w:r>
          </w:p>
        </w:tc>
        <w:tc>
          <w:tcPr>
            <w:tcW w:type="dxa" w:w="2880"/>
          </w:tcPr>
          <w:p>
            <w:r>
              <w:rPr>
                <w:sz w:val="18"/>
              </w:rPr>
              <w:t>1,024</w:t>
            </w:r>
          </w:p>
        </w:tc>
        <w:tc>
          <w:tcPr>
            <w:tcW w:type="dxa" w:w="2880"/>
          </w:tcPr>
          <w:p>
            <w:r>
              <w:rPr>
                <w:sz w:val="18"/>
              </w:rPr>
              <w:t>---</w:t>
            </w:r>
          </w:p>
        </w:tc>
      </w:tr>
      <w:tr>
        <w:tc>
          <w:tcPr>
            <w:tcW w:type="dxa" w:w="2880"/>
          </w:tcPr>
          <w:p>
            <w:r>
              <w:rPr>
                <w:sz w:val="18"/>
              </w:rPr>
              <w:t>Chunk size</w:t>
            </w:r>
          </w:p>
        </w:tc>
        <w:tc>
          <w:tcPr>
            <w:tcW w:type="dxa" w:w="2880"/>
          </w:tcPr>
          <w:p>
            <w:r>
              <w:rPr>
                <w:sz w:val="18"/>
              </w:rPr>
              <w:t>2,000 chars</w:t>
            </w:r>
          </w:p>
        </w:tc>
        <w:tc>
          <w:tcPr>
            <w:tcW w:type="dxa" w:w="2880"/>
          </w:tcPr>
          <w:p>
            <w:r>
              <w:rPr>
                <w:sz w:val="18"/>
              </w:rPr>
              <w:t>text_chunker_01_03.py</w:t>
            </w:r>
          </w:p>
        </w:tc>
      </w:tr>
      <w:tr>
        <w:tc>
          <w:tcPr>
            <w:tcW w:type="dxa" w:w="2880"/>
          </w:tcPr>
          <w:p>
            <w:r>
              <w:rPr>
                <w:sz w:val="18"/>
              </w:rPr>
              <w:t>Chunk overlap</w:t>
            </w:r>
          </w:p>
        </w:tc>
        <w:tc>
          <w:tcPr>
            <w:tcW w:type="dxa" w:w="2880"/>
          </w:tcPr>
          <w:p>
            <w:r>
              <w:rPr>
                <w:sz w:val="18"/>
              </w:rPr>
              <w:t>200 chars</w:t>
            </w:r>
          </w:p>
        </w:tc>
        <w:tc>
          <w:tcPr>
            <w:tcW w:type="dxa" w:w="2880"/>
          </w:tcPr>
          <w:p>
            <w:r>
              <w:rPr>
                <w:sz w:val="18"/>
              </w:rPr>
              <w:t>text_chunker_01_03.py</w:t>
            </w:r>
          </w:p>
        </w:tc>
      </w:tr>
      <w:tr>
        <w:tc>
          <w:tcPr>
            <w:tcW w:type="dxa" w:w="2880"/>
          </w:tcPr>
          <w:p>
            <w:r>
              <w:rPr>
                <w:sz w:val="18"/>
              </w:rPr>
              <w:t>Expert selection threshold</w:t>
            </w:r>
          </w:p>
        </w:tc>
        <w:tc>
          <w:tcPr>
            <w:tcW w:type="dxa" w:w="2880"/>
          </w:tcPr>
          <w:p>
            <w:r>
              <w:rPr>
                <w:sz w:val="18"/>
              </w:rPr>
              <w:t>0.5</w:t>
            </w:r>
          </w:p>
        </w:tc>
        <w:tc>
          <w:tcPr>
            <w:tcW w:type="dxa" w:w="2880"/>
          </w:tcPr>
          <w:p>
            <w:r>
              <w:rPr>
                <w:sz w:val="18"/>
              </w:rPr>
              <w:t>expert_selector_02_01.py</w:t>
            </w:r>
          </w:p>
        </w:tc>
      </w:tr>
      <w:tr>
        <w:tc>
          <w:tcPr>
            <w:tcW w:type="dxa" w:w="2880"/>
          </w:tcPr>
          <w:p>
            <w:r>
              <w:rPr>
                <w:sz w:val="18"/>
              </w:rPr>
              <w:t>Collaboration mode</w:t>
            </w:r>
          </w:p>
        </w:tc>
        <w:tc>
          <w:tcPr>
            <w:tcW w:type="dxa" w:w="2880"/>
          </w:tcPr>
          <w:p>
            <w:r>
              <w:rPr>
                <w:sz w:val="18"/>
              </w:rPr>
              <w:t>parallel / sequential</w:t>
            </w:r>
          </w:p>
        </w:tc>
        <w:tc>
          <w:tcPr>
            <w:tcW w:type="dxa" w:w="2880"/>
          </w:tcPr>
          <w:p>
            <w:r>
              <w:rPr>
                <w:sz w:val="18"/>
              </w:rPr>
              <w:t>coe_framework_02_03.py</w:t>
            </w:r>
          </w:p>
        </w:tc>
      </w:tr>
      <w:tr>
        <w:tc>
          <w:tcPr>
            <w:tcW w:type="dxa" w:w="2880"/>
          </w:tcPr>
          <w:p>
            <w:r>
              <w:rPr>
                <w:sz w:val="18"/>
              </w:rPr>
              <w:t>Feedback rounds (R)</w:t>
            </w:r>
          </w:p>
        </w:tc>
        <w:tc>
          <w:tcPr>
            <w:tcW w:type="dxa" w:w="2880"/>
          </w:tcPr>
          <w:p>
            <w:r>
              <w:rPr>
                <w:sz w:val="18"/>
              </w:rPr>
              <w:t>2 (default)</w:t>
            </w:r>
          </w:p>
        </w:tc>
        <w:tc>
          <w:tcPr>
            <w:tcW w:type="dxa" w:w="2880"/>
          </w:tcPr>
          <w:p>
            <w:r>
              <w:rPr>
                <w:sz w:val="18"/>
              </w:rPr>
              <w:t>meta_expert_02_09.py</w:t>
            </w:r>
          </w:p>
        </w:tc>
      </w:tr>
      <w:tr>
        <w:tc>
          <w:tcPr>
            <w:tcW w:type="dxa" w:w="2880"/>
          </w:tcPr>
          <w:p>
            <w:r>
              <w:rPr>
                <w:sz w:val="18"/>
              </w:rPr>
              <w:t>Quality threshold (accept)</w:t>
            </w:r>
          </w:p>
        </w:tc>
        <w:tc>
          <w:tcPr>
            <w:tcW w:type="dxa" w:w="2880"/>
          </w:tcPr>
          <w:p>
            <w:r>
              <w:rPr>
                <w:sz w:val="18"/>
              </w:rPr>
              <w:t>0.6</w:t>
            </w:r>
          </w:p>
        </w:tc>
        <w:tc>
          <w:tcPr>
            <w:tcW w:type="dxa" w:w="2880"/>
          </w:tcPr>
          <w:p>
            <w:r>
              <w:rPr>
                <w:sz w:val="18"/>
              </w:rPr>
              <w:t>meta_expert_02_09.py</w:t>
            </w:r>
          </w:p>
        </w:tc>
      </w:tr>
      <w:tr>
        <w:tc>
          <w:tcPr>
            <w:tcW w:type="dxa" w:w="2880"/>
          </w:tcPr>
          <w:p>
            <w:r>
              <w:rPr>
                <w:sz w:val="18"/>
              </w:rPr>
              <w:t>Knowledge items per chunk</w:t>
            </w:r>
          </w:p>
        </w:tc>
        <w:tc>
          <w:tcPr>
            <w:tcW w:type="dxa" w:w="2880"/>
          </w:tcPr>
          <w:p>
            <w:r>
              <w:rPr>
                <w:sz w:val="18"/>
              </w:rPr>
              <w:t>up to 5</w:t>
            </w:r>
          </w:p>
        </w:tc>
        <w:tc>
          <w:tcPr>
            <w:tcW w:type="dxa" w:w="2880"/>
          </w:tcPr>
          <w:p>
            <w:r>
              <w:rPr>
                <w:sz w:val="18"/>
              </w:rPr>
              <w:t>domain_knowledge_02_02.py</w:t>
            </w:r>
          </w:p>
        </w:tc>
      </w:tr>
      <w:tr>
        <w:tc>
          <w:tcPr>
            <w:tcW w:type="dxa" w:w="2880"/>
          </w:tcPr>
          <w:p>
            <w:r>
              <w:rPr>
                <w:sz w:val="18"/>
              </w:rPr>
              <w:t>Evaluation sample size</w:t>
            </w:r>
          </w:p>
        </w:tc>
        <w:tc>
          <w:tcPr>
            <w:tcW w:type="dxa" w:w="2880"/>
          </w:tcPr>
          <w:p>
            <w:r>
              <w:rPr>
                <w:sz w:val="18"/>
              </w:rPr>
              <w:t>2,000 pairs</w:t>
            </w:r>
          </w:p>
        </w:tc>
        <w:tc>
          <w:tcPr>
            <w:tcW w:type="dxa" w:w="2880"/>
          </w:tcPr>
          <w:p>
            <w:r>
              <w:rPr>
                <w:sz w:val="18"/>
              </w:rPr>
              <w:t>intrinsic_evaluation_03_03.py</w:t>
            </w:r>
          </w:p>
        </w:tc>
      </w:tr>
      <w:tr>
        <w:tc>
          <w:tcPr>
            <w:tcW w:type="dxa" w:w="2880"/>
          </w:tcPr>
          <w:p>
            <w:r>
              <w:rPr>
                <w:sz w:val="18"/>
              </w:rPr>
              <w:t>Random seed</w:t>
            </w:r>
          </w:p>
        </w:tc>
        <w:tc>
          <w:tcPr>
            <w:tcW w:type="dxa" w:w="2880"/>
          </w:tcPr>
          <w:p>
            <w:r>
              <w:rPr>
                <w:sz w:val="18"/>
              </w:rPr>
              <w:t>42</w:t>
            </w:r>
          </w:p>
        </w:tc>
        <w:tc>
          <w:tcPr>
            <w:tcW w:type="dxa" w:w="2880"/>
          </w:tcPr>
          <w:p>
            <w:r>
              <w:rPr>
                <w:sz w:val="18"/>
              </w:rPr>
              <w:t>All sampling steps</w:t>
            </w:r>
          </w:p>
        </w:tc>
      </w:tr>
    </w:tbl>
    <w:p>
      <w:pPr>
        <w:pStyle w:val="Normal"/>
      </w:pPr>
      <w:r>
        <w:rPr/>
      </w:r>
    </w:p>
    <w:p>
      <w:pPr>
        <w:pStyle w:val="Heading1"/>
        <w:jc w:val="left"/>
      </w:pPr>
      <w:r>
        <w:rPr/>
        <w:t>A.5 Expert Selection Logic</w:t>
      </w:r>
    </w:p>
    <w:p>
      <w:pPr>
        <w:pStyle w:val="Normal"/>
      </w:pPr>
      <w:r>
        <w:rPr/>
        <w:t>Expert selection is performed by a rule-based feature extractor (expert_selector_02_01.py) that scores each chunk against predefined feature patterns. No LLM is invoked during selection; the process is fully deterministic.</w:t>
      </w:r>
    </w:p>
    <w:p>
      <w:pPr>
        <w:pStyle w:val="ListNumber"/>
        <w:spacing w:after="60"/>
      </w:pPr>
      <w:r>
        <w:rPr>
          <w:sz w:val="20"/>
        </w:rPr>
        <w:t>Feature extraction. The chunk is analyzed for: keyword presence (carbon, emission, energy, employee, training, governance, etc.); numerical data density (counts, percentages, monetary values); temporal markers (years, quarters, "since", "by 20xx"); standard references (GRI, TCFD, SASB, ISO 14001, CDP); comparative language ("higher than", "below average", "ranked"); entity types (company names, plant locations, regulatory bodies).</w:t>
      </w:r>
    </w:p>
    <w:p>
      <w:pPr>
        <w:pStyle w:val="ListNumber"/>
        <w:spacing w:after="60"/>
      </w:pPr>
      <w:r>
        <w:rPr>
          <w:sz w:val="20"/>
        </w:rPr>
        <w:t>Expert scoring. Each of the 11 expert types defines a scoring function s_i(chunk) in [0,1] based on its target features. For example: TemporalAnalysisExpert gets a high score if temporal markers &gt;= 2 and numerical trends are present; GreenwashingDetectionExpert gets a high score if vague-commitment keywords and selective-disclosure patterns are detected; KnowledgeGraphExpert gets a high score if entity count &gt;= 5 and relation verbs are present.</w:t>
      </w:r>
    </w:p>
    <w:p>
      <w:pPr>
        <w:pStyle w:val="ListNumber"/>
        <w:spacing w:after="60"/>
      </w:pPr>
      <w:r>
        <w:rPr>
          <w:sz w:val="20"/>
        </w:rPr>
        <w:t>Thresholding. Experts with s_i &gt;= 0.5 are selected. If no expert meets the threshold, the fallback QAExpert is assigned.</w:t>
      </w:r>
    </w:p>
    <w:p>
      <w:pPr>
        <w:pStyle w:val="ListNumber"/>
        <w:spacing w:after="60"/>
      </w:pPr>
      <w:r>
        <w:rPr>
          <w:sz w:val="20"/>
        </w:rPr>
        <w:t>Collaboration mode. If |{s_i &gt;= 0.5}| &gt;= 2, parallel collaboration is used; otherwise sequential.</w:t>
      </w:r>
    </w:p>
    <w:p>
      <w:pPr>
        <w:pStyle w:val="Normal"/>
      </w:pPr>
      <w:r>
        <w:rPr>
          <w:b/>
        </w:rPr>
        <w:t xml:space="preserve">MetaExpert override. </w:t>
      </w:r>
      <w:r>
        <w:rPr/>
        <w:t>After expert selection, the MetaExpert may dynamically adjust the assignment based on core topics extracted from the chunk. This override is rare (&lt;5% of chunks) and logged in metadata.</w:t>
      </w:r>
    </w:p>
    <w:p>
      <w:pPr>
        <w:pStyle w:val="Normal"/>
      </w:pPr>
      <w:r>
        <w:rPr/>
      </w:r>
    </w:p>
    <w:p>
      <w:pPr>
        <w:pStyle w:val="Heading1"/>
        <w:jc w:val="left"/>
      </w:pPr>
      <w:r>
        <w:rPr/>
        <w:t>A.6 Error Analysis</w:t>
      </w:r>
    </w:p>
    <w:p>
      <w:pPr>
        <w:pStyle w:val="Normal"/>
      </w:pPr>
      <w:r>
        <w:rPr/>
        <w:t>To illustrate the quality spectrum of VeritasCarbon-ESG-35K, we present representative examples drawn from the 2,000-pair sample. The quality score is a composite metric (correctness 0.4, completeness 0.3, relevance 0.2, structure 0.1) assigned by the MetaExpert.</w:t>
      </w:r>
    </w:p>
    <w:p>
      <w:pPr>
        <w:pStyle w:val="Heading2"/>
        <w:jc w:val="left"/>
      </w:pPr>
      <w:r>
        <w:rPr/>
        <w:t>A.6.1 High-Quality Example (Score 0.915)</w:t>
      </w:r>
    </w:p>
    <w:p>
      <w:pPr>
        <w:pStyle w:val="Normal"/>
      </w:pPr>
      <w:r>
        <w:rPr>
          <w:b/>
        </w:rPr>
        <w:t xml:space="preserve">Assigned experts: </w:t>
      </w:r>
      <w:r>
        <w:rPr/>
        <w:t>Summary Expert + Consistency Verification Expert</w:t>
      </w:r>
    </w:p>
    <w:p>
      <w:pPr>
        <w:pStyle w:val="Normal"/>
      </w:pPr>
      <w:r>
        <w:rPr>
          <w:b/>
        </w:rPr>
        <w:t xml:space="preserve">Instruction: </w:t>
      </w:r>
      <w:r>
        <w:rPr/>
        <w:t>Generate a summary about the 2024–2025 A-share ESG fund issuance trends, listed companies' information disclosure quality, carbon-risk considerations in investment decisions, corporate carbon-emission management progress, ESG evaluation-system effectiveness, and the potential of China's ESG market to promote green transformation.</w:t>
      </w:r>
    </w:p>
    <w:p>
      <w:pPr>
        <w:pStyle w:val="Normal"/>
      </w:pPr>
      <w:r>
        <w:rPr>
          <w:b/>
        </w:rPr>
        <w:t xml:space="preserve">Answer: </w:t>
      </w:r>
      <w:r>
        <w:rPr/>
        <w:t>Since 2024, A-share ESG public fund issuance has reached approximately 216 billion yuan. Although the issuance pace has slowed, 18 new funds were still issued from Q4 to Q3 of the following year. The industry's overall scale has rebounded against the trend, showing a structural shift from quantity expansion to quality improvement. Under the dual-wheel drive of policy and market, China's ESG market is gradually maturing, with carbon-risk considerations becoming an important factor in investment decisions.</w:t>
      </w:r>
    </w:p>
    <w:p>
      <w:pPr>
        <w:pStyle w:val="Normal"/>
      </w:pPr>
      <w:r>
        <w:rPr>
          <w:b/>
        </w:rPr>
        <w:t xml:space="preserve">Why it scores high: </w:t>
      </w:r>
      <w:r>
        <w:rPr/>
        <w:t>The instruction demands multi-faceted synthesis (funds, disclosure, carbon risk, evaluation systems), and the answer integrates quantitative evidence (216B yuan, 18 funds) with qualitative assessment (structural shift, maturing market). The Consistency Verification Expert cross-checks that fund-scale figures are internally coherent.</w:t>
      </w:r>
    </w:p>
    <w:p>
      <w:pPr>
        <w:pStyle w:val="Heading2"/>
        <w:jc w:val="left"/>
      </w:pPr>
      <w:r>
        <w:rPr/>
        <w:t>A.6.2 Low-Quality Example (Score 0.000)</w:t>
      </w:r>
    </w:p>
    <w:p>
      <w:pPr>
        <w:pStyle w:val="Normal"/>
      </w:pPr>
      <w:r>
        <w:rPr>
          <w:b/>
        </w:rPr>
        <w:t xml:space="preserve">Assigned experts: </w:t>
      </w:r>
      <w:r>
        <w:rPr/>
        <w:t>Summary Expert</w:t>
      </w:r>
    </w:p>
    <w:p>
      <w:pPr>
        <w:pStyle w:val="Normal"/>
      </w:pPr>
      <w:r>
        <w:rPr>
          <w:b/>
        </w:rPr>
        <w:t xml:space="preserve">Instruction: </w:t>
      </w:r>
      <w:r>
        <w:rPr/>
        <w:t>Generate a summary for the following text.</w:t>
      </w:r>
    </w:p>
    <w:p>
      <w:pPr>
        <w:pStyle w:val="Normal"/>
      </w:pPr>
      <w:r>
        <w:rPr>
          <w:b/>
        </w:rPr>
        <w:t xml:space="preserve">Answer: </w:t>
      </w:r>
      <w:r>
        <w:rPr/>
        <w:t>This article aims to analyze how ESG information disclosure affects employees' green innovation efficiency and its role in promoting companies' real carbon-reduction commitments. Special attention is paid to identifying and criticizing potential "greenwashing" behavior, i.e., phenomena where companies superficially promote environmental measures without taking substantive action. In addition, the article...</w:t>
      </w:r>
    </w:p>
    <w:p>
      <w:pPr>
        <w:pStyle w:val="Normal"/>
      </w:pPr>
      <w:r>
        <w:rPr>
          <w:b/>
        </w:rPr>
        <w:t xml:space="preserve">Why it scores low: </w:t>
      </w:r>
      <w:r>
        <w:rPr/>
        <w:t>The output is a generic abstract of the source text rather than a task-oriented instruction–response pair. The "instruction" is merely "generate a summary," and the "answer" restates the paper's purpose without concrete data or analysis. This pattern occurs when the MetaExpert's work instruction is too vague and no second expert is assigned to refine depth.</w:t>
      </w:r>
    </w:p>
    <w:p>
      <w:pPr>
        <w:pStyle w:val="Heading2"/>
        <w:jc w:val="left"/>
      </w:pPr>
      <w:r>
        <w:rPr/>
        <w:t>A.6.3 Key Failure Patterns</w:t>
      </w:r>
    </w:p>
    <w:p>
      <w:pPr>
        <w:pStyle w:val="Normal"/>
      </w:pPr>
      <w:r>
        <w:rPr/>
        <w:t>Table 4 summarizes the most common failure modes observed in the bottom-decile records.</w:t>
      </w:r>
    </w:p>
    <w:tbl>
      <w:tblPr>
        <w:tblStyle w:val="TableGrid"/>
        <w:tblW w:type="auto" w:w="0"/>
        <w:tblLook w:firstColumn="1" w:firstRow="1" w:lastColumn="0" w:lastRow="0" w:noHBand="0" w:noVBand="1" w:val="04A0"/>
      </w:tblPr>
      <w:tblGrid>
        <w:gridCol w:w="2880"/>
        <w:gridCol w:w="2880"/>
        <w:gridCol w:w="2880"/>
      </w:tblGrid>
      <w:tr>
        <w:tc>
          <w:tcPr>
            <w:tcW w:type="dxa" w:w="2880"/>
            <w:shd w:fill="E7E6E6"/>
          </w:tcPr>
          <w:p>
            <w:r>
              <w:rPr>
                <w:b/>
                <w:sz w:val="18"/>
              </w:rPr>
              <w:t>Pattern</w:t>
            </w:r>
          </w:p>
        </w:tc>
        <w:tc>
          <w:tcPr>
            <w:tcW w:type="dxa" w:w="2880"/>
            <w:shd w:fill="E7E6E6"/>
          </w:tcPr>
          <w:p>
            <w:r>
              <w:rPr>
                <w:b/>
                <w:sz w:val="18"/>
              </w:rPr>
              <w:t>Description</w:t>
            </w:r>
          </w:p>
        </w:tc>
        <w:tc>
          <w:tcPr>
            <w:tcW w:type="dxa" w:w="2880"/>
            <w:shd w:fill="E7E6E6"/>
          </w:tcPr>
          <w:p>
            <w:r>
              <w:rPr>
                <w:b/>
                <w:sz w:val="18"/>
              </w:rPr>
              <w:t>Typical Cause</w:t>
            </w:r>
          </w:p>
        </w:tc>
      </w:tr>
      <w:tr>
        <w:tc>
          <w:tcPr>
            <w:tcW w:type="dxa" w:w="2880"/>
          </w:tcPr>
          <w:p>
            <w:r>
              <w:rPr>
                <w:sz w:val="18"/>
              </w:rPr>
              <w:t>Generic summary</w:t>
            </w:r>
          </w:p>
        </w:tc>
        <w:tc>
          <w:tcPr>
            <w:tcW w:type="dxa" w:w="2880"/>
          </w:tcPr>
          <w:p>
            <w:r>
              <w:rPr>
                <w:sz w:val="18"/>
              </w:rPr>
              <w:t>Answer restates source abstract without task specificity.</w:t>
            </w:r>
          </w:p>
        </w:tc>
        <w:tc>
          <w:tcPr>
            <w:tcW w:type="dxa" w:w="2880"/>
          </w:tcPr>
          <w:p>
            <w:r>
              <w:rPr>
                <w:sz w:val="18"/>
              </w:rPr>
              <w:t>Single Summary Expert, no dynamic instruction.</w:t>
            </w:r>
          </w:p>
        </w:tc>
      </w:tr>
      <w:tr>
        <w:tc>
          <w:tcPr>
            <w:tcW w:type="dxa" w:w="2880"/>
          </w:tcPr>
          <w:p>
            <w:r>
              <w:rPr>
                <w:sz w:val="18"/>
              </w:rPr>
              <w:t>Vague instruction</w:t>
            </w:r>
          </w:p>
        </w:tc>
        <w:tc>
          <w:tcPr>
            <w:tcW w:type="dxa" w:w="2880"/>
          </w:tcPr>
          <w:p>
            <w:r>
              <w:rPr>
                <w:sz w:val="18"/>
              </w:rPr>
              <w:t>Instruction is a broad request ("analyze ESG").</w:t>
            </w:r>
          </w:p>
        </w:tc>
        <w:tc>
          <w:tcPr>
            <w:tcW w:type="dxa" w:w="2880"/>
          </w:tcPr>
          <w:p>
            <w:r>
              <w:rPr>
                <w:sz w:val="18"/>
              </w:rPr>
              <w:t>MetaExpert topics too generic.</w:t>
            </w:r>
          </w:p>
        </w:tc>
      </w:tr>
      <w:tr>
        <w:tc>
          <w:tcPr>
            <w:tcW w:type="dxa" w:w="2880"/>
          </w:tcPr>
          <w:p>
            <w:r>
              <w:rPr>
                <w:sz w:val="18"/>
              </w:rPr>
              <w:t>Missing evidence</w:t>
            </w:r>
          </w:p>
        </w:tc>
        <w:tc>
          <w:tcPr>
            <w:tcW w:type="dxa" w:w="2880"/>
          </w:tcPr>
          <w:p>
            <w:r>
              <w:rPr>
                <w:sz w:val="18"/>
              </w:rPr>
              <w:t>Claims lack concrete numbers or source citations.</w:t>
            </w:r>
          </w:p>
        </w:tc>
        <w:tc>
          <w:tcPr>
            <w:tcW w:type="dxa" w:w="2880"/>
          </w:tcPr>
          <w:p>
            <w:r>
              <w:rPr>
                <w:sz w:val="18"/>
              </w:rPr>
              <w:t>No Extraction/Benchmark Expert assigned.</w:t>
            </w:r>
          </w:p>
        </w:tc>
      </w:tr>
      <w:tr>
        <w:tc>
          <w:tcPr>
            <w:tcW w:type="dxa" w:w="2880"/>
          </w:tcPr>
          <w:p>
            <w:r>
              <w:rPr>
                <w:sz w:val="18"/>
              </w:rPr>
              <w:t>Self-reference</w:t>
            </w:r>
          </w:p>
        </w:tc>
        <w:tc>
          <w:tcPr>
            <w:tcW w:type="dxa" w:w="2880"/>
          </w:tcPr>
          <w:p>
            <w:r>
              <w:rPr>
                <w:sz w:val="18"/>
              </w:rPr>
              <w:t>Answer refers to "this article" or "the text."</w:t>
            </w:r>
          </w:p>
        </w:tc>
        <w:tc>
          <w:tcPr>
            <w:tcW w:type="dxa" w:w="2880"/>
          </w:tcPr>
          <w:p>
            <w:r>
              <w:rPr>
                <w:sz w:val="18"/>
              </w:rPr>
              <w:t>Expert fails to rephrase into third-person response.</w:t>
            </w:r>
          </w:p>
        </w:tc>
      </w:tr>
    </w:tbl>
    <w:p>
      <w:pPr>
        <w:pStyle w:val="Normal"/>
      </w:pPr>
      <w:r>
        <w:rPr/>
      </w:r>
    </w:p>
    <w:p>
      <w:pPr>
        <w:pStyle w:val="Heading1"/>
        <w:jc w:val="left"/>
      </w:pPr>
      <w:r>
        <w:rPr/>
        <w:t>A.7 Dataset Schema</w:t>
      </w:r>
    </w:p>
    <w:p>
      <w:pPr>
        <w:pStyle w:val="Normal"/>
      </w:pPr>
      <w:r>
        <w:rPr/>
        <w:t>Each record in the dataset is a JSON object with the following schema. All fields are guaranteed present; optional sub-fields within metadata default to null or empty lists when unavailable.</w:t>
      </w:r>
    </w:p>
    <w:tbl>
      <w:tblPr>
        <w:tblStyle w:val="TableGrid"/>
        <w:tblW w:type="auto" w:w="0"/>
        <w:tblLook w:firstColumn="1" w:firstRow="1" w:lastColumn="0" w:lastRow="0" w:noHBand="0" w:noVBand="1" w:val="04A0"/>
      </w:tblPr>
      <w:tblGrid>
        <w:gridCol w:w="2880"/>
        <w:gridCol w:w="2880"/>
        <w:gridCol w:w="2880"/>
      </w:tblGrid>
      <w:tr>
        <w:tc>
          <w:tcPr>
            <w:tcW w:type="dxa" w:w="2880"/>
            <w:shd w:fill="E7E6E6"/>
          </w:tcPr>
          <w:p>
            <w:r>
              <w:rPr>
                <w:b/>
                <w:sz w:val="18"/>
              </w:rPr>
              <w:t>Field</w:t>
            </w:r>
          </w:p>
        </w:tc>
        <w:tc>
          <w:tcPr>
            <w:tcW w:type="dxa" w:w="2880"/>
            <w:shd w:fill="E7E6E6"/>
          </w:tcPr>
          <w:p>
            <w:r>
              <w:rPr>
                <w:b/>
                <w:sz w:val="18"/>
              </w:rPr>
              <w:t>Type</w:t>
            </w:r>
          </w:p>
        </w:tc>
        <w:tc>
          <w:tcPr>
            <w:tcW w:type="dxa" w:w="2880"/>
            <w:shd w:fill="E7E6E6"/>
          </w:tcPr>
          <w:p>
            <w:r>
              <w:rPr>
                <w:b/>
                <w:sz w:val="18"/>
              </w:rPr>
              <w:t>Description</w:t>
            </w:r>
          </w:p>
        </w:tc>
      </w:tr>
      <w:tr>
        <w:tc>
          <w:tcPr>
            <w:tcW w:type="dxa" w:w="2880"/>
          </w:tcPr>
          <w:p>
            <w:r>
              <w:rPr>
                <w:sz w:val="18"/>
              </w:rPr>
              <w:t>instruction</w:t>
            </w:r>
          </w:p>
        </w:tc>
        <w:tc>
          <w:tcPr>
            <w:tcW w:type="dxa" w:w="2880"/>
          </w:tcPr>
          <w:p>
            <w:r>
              <w:rPr>
                <w:sz w:val="18"/>
              </w:rPr>
              <w:t>string</w:t>
            </w:r>
          </w:p>
        </w:tc>
        <w:tc>
          <w:tcPr>
            <w:tcW w:type="dxa" w:w="2880"/>
          </w:tcPr>
          <w:p>
            <w:r>
              <w:rPr>
                <w:sz w:val="18"/>
              </w:rPr>
              <w:t>The generated task instruction (Chinese, avg 106.5 chars).</w:t>
            </w:r>
          </w:p>
        </w:tc>
      </w:tr>
      <w:tr>
        <w:tc>
          <w:tcPr>
            <w:tcW w:type="dxa" w:w="2880"/>
          </w:tcPr>
          <w:p>
            <w:r>
              <w:rPr>
                <w:sz w:val="18"/>
              </w:rPr>
              <w:t>input</w:t>
            </w:r>
          </w:p>
        </w:tc>
        <w:tc>
          <w:tcPr>
            <w:tcW w:type="dxa" w:w="2880"/>
          </w:tcPr>
          <w:p>
            <w:r>
              <w:rPr>
                <w:sz w:val="18"/>
              </w:rPr>
              <w:t>string</w:t>
            </w:r>
          </w:p>
        </w:tc>
        <w:tc>
          <w:tcPr>
            <w:tcW w:type="dxa" w:w="2880"/>
          </w:tcPr>
          <w:p>
            <w:r>
              <w:rPr>
                <w:sz w:val="18"/>
              </w:rPr>
              <w:t>Source text chunk from the ESG document (up to ~2,000 chars).</w:t>
            </w:r>
          </w:p>
        </w:tc>
      </w:tr>
      <w:tr>
        <w:tc>
          <w:tcPr>
            <w:tcW w:type="dxa" w:w="2880"/>
          </w:tcPr>
          <w:p>
            <w:r>
              <w:rPr>
                <w:sz w:val="18"/>
              </w:rPr>
              <w:t>output</w:t>
            </w:r>
          </w:p>
        </w:tc>
        <w:tc>
          <w:tcPr>
            <w:tcW w:type="dxa" w:w="2880"/>
          </w:tcPr>
          <w:p>
            <w:r>
              <w:rPr>
                <w:sz w:val="18"/>
              </w:rPr>
              <w:t>string</w:t>
            </w:r>
          </w:p>
        </w:tc>
        <w:tc>
          <w:tcPr>
            <w:tcW w:type="dxa" w:w="2880"/>
          </w:tcPr>
          <w:p>
            <w:r>
              <w:rPr>
                <w:sz w:val="18"/>
              </w:rPr>
              <w:t>Generated response (Chinese/English, avg 380.4 chars).</w:t>
            </w:r>
          </w:p>
        </w:tc>
      </w:tr>
      <w:tr>
        <w:tc>
          <w:tcPr>
            <w:tcW w:type="dxa" w:w="2880"/>
          </w:tcPr>
          <w:p>
            <w:r>
              <w:rPr>
                <w:sz w:val="18"/>
              </w:rPr>
              <w:t>source_chunk_id</w:t>
            </w:r>
          </w:p>
        </w:tc>
        <w:tc>
          <w:tcPr>
            <w:tcW w:type="dxa" w:w="2880"/>
          </w:tcPr>
          <w:p>
            <w:r>
              <w:rPr>
                <w:sz w:val="18"/>
              </w:rPr>
              <w:t>string</w:t>
            </w:r>
          </w:p>
        </w:tc>
        <w:tc>
          <w:tcPr>
            <w:tcW w:type="dxa" w:w="2880"/>
          </w:tcPr>
          <w:p>
            <w:r>
              <w:rPr>
                <w:sz w:val="18"/>
              </w:rPr>
              <w:t>Unique chunk identifier (e.g., Layer2_CSR_2024_000920_chunk_21).</w:t>
            </w:r>
          </w:p>
        </w:tc>
      </w:tr>
      <w:tr>
        <w:tc>
          <w:tcPr>
            <w:tcW w:type="dxa" w:w="2880"/>
          </w:tcPr>
          <w:p>
            <w:r>
              <w:rPr>
                <w:sz w:val="18"/>
              </w:rPr>
              <w:t>metadata</w:t>
            </w:r>
          </w:p>
        </w:tc>
        <w:tc>
          <w:tcPr>
            <w:tcW w:type="dxa" w:w="2880"/>
          </w:tcPr>
          <w:p>
            <w:r>
              <w:rPr>
                <w:sz w:val="18"/>
              </w:rPr>
              <w:t>object</w:t>
            </w:r>
          </w:p>
        </w:tc>
        <w:tc>
          <w:tcPr>
            <w:tcW w:type="dxa" w:w="2880"/>
          </w:tcPr>
          <w:p>
            <w:r>
              <w:rPr>
                <w:sz w:val="18"/>
              </w:rPr>
              <w:t>Generation provenance and quality metadata (see below).</w:t>
            </w:r>
          </w:p>
        </w:tc>
      </w:tr>
    </w:tbl>
    <w:p>
      <w:pPr>
        <w:pStyle w:val="Heading2"/>
        <w:jc w:val="left"/>
      </w:pPr>
      <w:r>
        <w:rPr/>
        <w:t>Metadata Object</w:t>
      </w:r>
    </w:p>
    <w:tbl>
      <w:tblPr>
        <w:tblStyle w:val="TableGrid"/>
        <w:tblW w:type="auto" w:w="0"/>
        <w:tblLook w:firstColumn="1" w:firstRow="1" w:lastColumn="0" w:lastRow="0" w:noHBand="0" w:noVBand="1" w:val="04A0"/>
      </w:tblPr>
      <w:tblGrid>
        <w:gridCol w:w="2880"/>
        <w:gridCol w:w="2880"/>
        <w:gridCol w:w="2880"/>
      </w:tblGrid>
      <w:tr>
        <w:tc>
          <w:tcPr>
            <w:tcW w:type="dxa" w:w="2880"/>
            <w:shd w:fill="E7E6E6"/>
          </w:tcPr>
          <w:p>
            <w:r>
              <w:rPr>
                <w:b/>
                <w:sz w:val="18"/>
              </w:rPr>
              <w:t>Field</w:t>
            </w:r>
          </w:p>
        </w:tc>
        <w:tc>
          <w:tcPr>
            <w:tcW w:type="dxa" w:w="2880"/>
            <w:shd w:fill="E7E6E6"/>
          </w:tcPr>
          <w:p>
            <w:r>
              <w:rPr>
                <w:b/>
                <w:sz w:val="18"/>
              </w:rPr>
              <w:t>Type</w:t>
            </w:r>
          </w:p>
        </w:tc>
        <w:tc>
          <w:tcPr>
            <w:tcW w:type="dxa" w:w="2880"/>
            <w:shd w:fill="E7E6E6"/>
          </w:tcPr>
          <w:p>
            <w:r>
              <w:rPr>
                <w:b/>
                <w:sz w:val="18"/>
              </w:rPr>
              <w:t>Description</w:t>
            </w:r>
          </w:p>
        </w:tc>
      </w:tr>
      <w:tr>
        <w:tc>
          <w:tcPr>
            <w:tcW w:type="dxa" w:w="2880"/>
          </w:tcPr>
          <w:p>
            <w:r>
              <w:rPr>
                <w:sz w:val="18"/>
              </w:rPr>
              <w:t>quality_score</w:t>
            </w:r>
          </w:p>
        </w:tc>
        <w:tc>
          <w:tcPr>
            <w:tcW w:type="dxa" w:w="2880"/>
          </w:tcPr>
          <w:p>
            <w:r>
              <w:rPr>
                <w:sz w:val="18"/>
              </w:rPr>
              <w:t>float</w:t>
            </w:r>
          </w:p>
        </w:tc>
        <w:tc>
          <w:tcPr>
            <w:tcW w:type="dxa" w:w="2880"/>
          </w:tcPr>
          <w:p>
            <w:r>
              <w:rPr>
                <w:sz w:val="18"/>
              </w:rPr>
              <w:t>Composite score in [0,1] (mean 0.667, std 0.103).</w:t>
            </w:r>
          </w:p>
        </w:tc>
      </w:tr>
      <w:tr>
        <w:tc>
          <w:tcPr>
            <w:tcW w:type="dxa" w:w="2880"/>
          </w:tcPr>
          <w:p>
            <w:r>
              <w:rPr>
                <w:sz w:val="18"/>
              </w:rPr>
              <w:t>selected_experts</w:t>
            </w:r>
          </w:p>
        </w:tc>
        <w:tc>
          <w:tcPr>
            <w:tcW w:type="dxa" w:w="2880"/>
          </w:tcPr>
          <w:p>
            <w:r>
              <w:rPr>
                <w:sz w:val="18"/>
              </w:rPr>
              <w:t>list[str]</w:t>
            </w:r>
          </w:p>
        </w:tc>
        <w:tc>
          <w:tcPr>
            <w:tcW w:type="dxa" w:w="2880"/>
          </w:tcPr>
          <w:p>
            <w:r>
              <w:rPr>
                <w:sz w:val="18"/>
              </w:rPr>
              <w:t>IDs of expert agents invoked.</w:t>
            </w:r>
          </w:p>
        </w:tc>
      </w:tr>
      <w:tr>
        <w:tc>
          <w:tcPr>
            <w:tcW w:type="dxa" w:w="2880"/>
          </w:tcPr>
          <w:p>
            <w:r>
              <w:rPr>
                <w:sz w:val="18"/>
              </w:rPr>
              <w:t>expert_names</w:t>
            </w:r>
          </w:p>
        </w:tc>
        <w:tc>
          <w:tcPr>
            <w:tcW w:type="dxa" w:w="2880"/>
          </w:tcPr>
          <w:p>
            <w:r>
              <w:rPr>
                <w:sz w:val="18"/>
              </w:rPr>
              <w:t>string</w:t>
            </w:r>
          </w:p>
        </w:tc>
        <w:tc>
          <w:tcPr>
            <w:tcW w:type="dxa" w:w="2880"/>
          </w:tcPr>
          <w:p>
            <w:r>
              <w:rPr>
                <w:sz w:val="18"/>
              </w:rPr>
              <w:t>Human-readable expert names.</w:t>
            </w:r>
          </w:p>
        </w:tc>
      </w:tr>
      <w:tr>
        <w:tc>
          <w:tcPr>
            <w:tcW w:type="dxa" w:w="2880"/>
          </w:tcPr>
          <w:p>
            <w:r>
              <w:rPr>
                <w:sz w:val="18"/>
              </w:rPr>
              <w:t>selection_reasons</w:t>
            </w:r>
          </w:p>
        </w:tc>
        <w:tc>
          <w:tcPr>
            <w:tcW w:type="dxa" w:w="2880"/>
          </w:tcPr>
          <w:p>
            <w:r>
              <w:rPr>
                <w:sz w:val="18"/>
              </w:rPr>
              <w:t>object</w:t>
            </w:r>
          </w:p>
        </w:tc>
        <w:tc>
          <w:tcPr>
            <w:tcW w:type="dxa" w:w="2880"/>
          </w:tcPr>
          <w:p>
            <w:r>
              <w:rPr>
                <w:sz w:val="18"/>
              </w:rPr>
              <w:t>Feature scores that triggered each expert's selection.</w:t>
            </w:r>
          </w:p>
        </w:tc>
      </w:tr>
      <w:tr>
        <w:tc>
          <w:tcPr>
            <w:tcW w:type="dxa" w:w="2880"/>
          </w:tcPr>
          <w:p>
            <w:r>
              <w:rPr>
                <w:sz w:val="18"/>
              </w:rPr>
              <w:t>use_meta_expert</w:t>
            </w:r>
          </w:p>
        </w:tc>
        <w:tc>
          <w:tcPr>
            <w:tcW w:type="dxa" w:w="2880"/>
          </w:tcPr>
          <w:p>
            <w:r>
              <w:rPr>
                <w:sz w:val="18"/>
              </w:rPr>
              <w:t>bool</w:t>
            </w:r>
          </w:p>
        </w:tc>
        <w:tc>
          <w:tcPr>
            <w:tcW w:type="dxa" w:w="2880"/>
          </w:tcPr>
          <w:p>
            <w:r>
              <w:rPr>
                <w:sz w:val="18"/>
              </w:rPr>
              <w:t>Whether MetaExpert orchestration was used.</w:t>
            </w:r>
          </w:p>
        </w:tc>
      </w:tr>
      <w:tr>
        <w:tc>
          <w:tcPr>
            <w:tcW w:type="dxa" w:w="2880"/>
          </w:tcPr>
          <w:p>
            <w:r>
              <w:rPr>
                <w:sz w:val="18"/>
              </w:rPr>
              <w:t>dynamic_instructions</w:t>
            </w:r>
          </w:p>
        </w:tc>
        <w:tc>
          <w:tcPr>
            <w:tcW w:type="dxa" w:w="2880"/>
          </w:tcPr>
          <w:p>
            <w:r>
              <w:rPr>
                <w:sz w:val="18"/>
              </w:rPr>
              <w:t>string</w:t>
            </w:r>
          </w:p>
        </w:tc>
        <w:tc>
          <w:tcPr>
            <w:tcW w:type="dxa" w:w="2880"/>
          </w:tcPr>
          <w:p>
            <w:r>
              <w:rPr>
                <w:sz w:val="18"/>
              </w:rPr>
              <w:t>The work instruction generated by MetaExpert (if any).</w:t>
            </w:r>
          </w:p>
        </w:tc>
      </w:tr>
      <w:tr>
        <w:tc>
          <w:tcPr>
            <w:tcW w:type="dxa" w:w="2880"/>
          </w:tcPr>
          <w:p>
            <w:r>
              <w:rPr>
                <w:sz w:val="18"/>
              </w:rPr>
              <w:t>knowledge_items_count</w:t>
            </w:r>
          </w:p>
        </w:tc>
        <w:tc>
          <w:tcPr>
            <w:tcW w:type="dxa" w:w="2880"/>
          </w:tcPr>
          <w:p>
            <w:r>
              <w:rPr>
                <w:sz w:val="18"/>
              </w:rPr>
              <w:t>int</w:t>
            </w:r>
          </w:p>
        </w:tc>
        <w:tc>
          <w:tcPr>
            <w:tcW w:type="dxa" w:w="2880"/>
          </w:tcPr>
          <w:p>
            <w:r>
              <w:rPr>
                <w:sz w:val="18"/>
              </w:rPr>
              <w:t>Number of injected domain-knowledge items (0–5).</w:t>
            </w:r>
          </w:p>
        </w:tc>
      </w:tr>
      <w:tr>
        <w:tc>
          <w:tcPr>
            <w:tcW w:type="dxa" w:w="2880"/>
          </w:tcPr>
          <w:p>
            <w:r>
              <w:rPr>
                <w:sz w:val="18"/>
              </w:rPr>
              <w:t>collaboration_mode</w:t>
            </w:r>
          </w:p>
        </w:tc>
        <w:tc>
          <w:tcPr>
            <w:tcW w:type="dxa" w:w="2880"/>
          </w:tcPr>
          <w:p>
            <w:r>
              <w:rPr>
                <w:sz w:val="18"/>
              </w:rPr>
              <w:t>string</w:t>
            </w:r>
          </w:p>
        </w:tc>
        <w:tc>
          <w:tcPr>
            <w:tcW w:type="dxa" w:w="2880"/>
          </w:tcPr>
          <w:p>
            <w:r>
              <w:rPr>
                <w:sz w:val="18"/>
              </w:rPr>
              <w:t>parallel or sequential.</w:t>
            </w:r>
          </w:p>
        </w:tc>
      </w:tr>
      <w:tr>
        <w:tc>
          <w:tcPr>
            <w:tcW w:type="dxa" w:w="2880"/>
          </w:tcPr>
          <w:p>
            <w:r>
              <w:rPr>
                <w:sz w:val="18"/>
              </w:rPr>
              <w:t>max_iterations</w:t>
            </w:r>
          </w:p>
        </w:tc>
        <w:tc>
          <w:tcPr>
            <w:tcW w:type="dxa" w:w="2880"/>
          </w:tcPr>
          <w:p>
            <w:r>
              <w:rPr>
                <w:sz w:val="18"/>
              </w:rPr>
              <w:t>int</w:t>
            </w:r>
          </w:p>
        </w:tc>
        <w:tc>
          <w:tcPr>
            <w:tcW w:type="dxa" w:w="2880"/>
          </w:tcPr>
          <w:p>
            <w:r>
              <w:rPr>
                <w:sz w:val="18"/>
              </w:rPr>
              <w:t>Feedback rounds executed (0–2).</w:t>
            </w:r>
          </w:p>
        </w:tc>
      </w:tr>
      <w:tr>
        <w:tc>
          <w:tcPr>
            <w:tcW w:type="dxa" w:w="2880"/>
          </w:tcPr>
          <w:p>
            <w:r>
              <w:rPr>
                <w:sz w:val="18"/>
              </w:rPr>
              <w:t>model</w:t>
            </w:r>
          </w:p>
        </w:tc>
        <w:tc>
          <w:tcPr>
            <w:tcW w:type="dxa" w:w="2880"/>
          </w:tcPr>
          <w:p>
            <w:r>
              <w:rPr>
                <w:sz w:val="18"/>
              </w:rPr>
              <w:t>string</w:t>
            </w:r>
          </w:p>
        </w:tc>
        <w:tc>
          <w:tcPr>
            <w:tcW w:type="dxa" w:w="2880"/>
          </w:tcPr>
          <w:p>
            <w:r>
              <w:rPr>
                <w:sz w:val="18"/>
              </w:rPr>
              <w:t>Generator model ID (Qwen2-72B-Instruct).</w:t>
            </w:r>
          </w:p>
        </w:tc>
      </w:tr>
      <w:tr>
        <w:tc>
          <w:tcPr>
            <w:tcW w:type="dxa" w:w="2880"/>
          </w:tcPr>
          <w:p>
            <w:r>
              <w:rPr>
                <w:sz w:val="18"/>
              </w:rPr>
              <w:t>framework</w:t>
            </w:r>
          </w:p>
        </w:tc>
        <w:tc>
          <w:tcPr>
            <w:tcW w:type="dxa" w:w="2880"/>
          </w:tcPr>
          <w:p>
            <w:r>
              <w:rPr>
                <w:sz w:val="18"/>
              </w:rPr>
              <w:t>string</w:t>
            </w:r>
          </w:p>
        </w:tc>
        <w:tc>
          <w:tcPr>
            <w:tcW w:type="dxa" w:w="2880"/>
          </w:tcPr>
          <w:p>
            <w:r>
              <w:rPr>
                <w:sz w:val="18"/>
              </w:rPr>
              <w:t>Always CoDE.</w:t>
            </w:r>
          </w:p>
        </w:tc>
      </w:tr>
    </w:tbl>
    <w:p>
      <w:pPr>
        <w:pStyle w:val="Normal"/>
      </w:pPr>
      <w:r>
        <w:rPr>
          <w:b/>
        </w:rPr>
        <w:t xml:space="preserve">Quality score composition. </w:t>
      </w:r>
      <w:r>
        <w:rPr/>
        <w:t>The MetaExpert evaluates four dimensions, each scored 0–1:</w:t>
      </w:r>
    </w:p>
    <w:p>
      <w:pPr>
        <w:pStyle w:val="ListNumber"/>
        <w:spacing w:after="60"/>
      </w:pPr>
      <w:r>
        <w:rPr>
          <w:sz w:val="20"/>
        </w:rPr>
        <w:t>Correctness (weight 0.4): Factual accuracy against the source chunk.</w:t>
      </w:r>
    </w:p>
    <w:p>
      <w:pPr>
        <w:pStyle w:val="ListNumber"/>
        <w:spacing w:after="60"/>
      </w:pPr>
      <w:r>
        <w:rPr>
          <w:sz w:val="20"/>
        </w:rPr>
        <w:t>Completeness (weight 0.3): Coverage of all relevant aspects in the chunk.</w:t>
      </w:r>
    </w:p>
    <w:p>
      <w:pPr>
        <w:pStyle w:val="ListNumber"/>
        <w:spacing w:after="60"/>
      </w:pPr>
      <w:r>
        <w:rPr>
          <w:sz w:val="20"/>
        </w:rPr>
        <w:t>Relevance (weight 0.2): Alignment between instruction and response.</w:t>
      </w:r>
    </w:p>
    <w:p>
      <w:pPr>
        <w:pStyle w:val="ListNumber"/>
        <w:spacing w:after="60"/>
      </w:pPr>
      <w:r>
        <w:rPr>
          <w:sz w:val="20"/>
        </w:rPr>
        <w:t>Structure (weight 0.1): Clarity of formatting and logical flow.</w:t>
      </w:r>
    </w:p>
    <w:p>
      <w:pPr>
        <w:pStyle w:val="Normal"/>
      </w:pPr>
      <w:r>
        <w:rPr/>
        <w:t>The composite score is the weighted sum. Records with score &lt; 0.6 trigger a feedback round; records that still fail after R=2 rounds are discarded.</w:t>
      </w:r>
    </w:p>
    <w:p>
      <w:pPr>
        <w:pStyle w:val="Normal"/>
      </w:pPr>
      <w:r>
        <w:rPr/>
      </w:r>
    </w:p>
    <w:p>
      <w:pPr>
        <w:pStyle w:val="Heading1"/>
        <w:jc w:val="left"/>
      </w:pPr>
      <w:r>
        <w:rPr/>
        <w:t>A.8 Latency and Cost Breakdown</w:t>
      </w:r>
    </w:p>
    <w:p>
      <w:pPr>
        <w:pStyle w:val="Normal"/>
      </w:pPr>
      <w:r>
        <w:rPr/>
        <w:t>Table 5 reports end-to-end latency measured on a single NVIDIA A100 (80 GB) with Qwen2-72B-Instruct 4-bit quantized via Unsloth. Batch size is 1; times are wall-clock averages over 100 records.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7E6E6"/>
          </w:tcPr>
          <w:p>
            <w:r>
              <w:rPr>
                <w:b/>
                <w:sz w:val="18"/>
              </w:rPr>
              <w:t>Pipeline Stage</w:t>
            </w:r>
          </w:p>
        </w:tc>
        <w:tc>
          <w:tcPr>
            <w:tcW w:type="dxa" w:w="2160"/>
            <w:shd w:fill="E7E6E6"/>
          </w:tcPr>
          <w:p>
            <w:r>
              <w:rPr>
                <w:b/>
                <w:sz w:val="18"/>
              </w:rPr>
              <w:t>Time / Record</w:t>
            </w:r>
          </w:p>
        </w:tc>
        <w:tc>
          <w:tcPr>
            <w:tcW w:type="dxa" w:w="2160"/>
            <w:shd w:fill="E7E6E6"/>
          </w:tcPr>
          <w:p>
            <w:r>
              <w:rPr>
                <w:b/>
                <w:sz w:val="18"/>
              </w:rPr>
              <w:t>Total (35K)</w:t>
            </w:r>
          </w:p>
        </w:tc>
        <w:tc>
          <w:tcPr>
            <w:tcW w:type="dxa" w:w="2160"/>
            <w:shd w:fill="E7E6E6"/>
          </w:tcPr>
          <w:p>
            <w:r>
              <w:rPr>
                <w:b/>
                <w:sz w:val="18"/>
              </w:rPr>
              <w:t>% of Total</w:t>
            </w:r>
          </w:p>
        </w:tc>
      </w:tr>
      <w:tr>
        <w:tc>
          <w:tcPr>
            <w:tcW w:type="dxa" w:w="2160"/>
          </w:tcPr>
          <w:p>
            <w:r>
              <w:rPr>
                <w:sz w:val="18"/>
              </w:rPr>
              <w:t>Document parsing</w:t>
            </w:r>
          </w:p>
        </w:tc>
        <w:tc>
          <w:tcPr>
            <w:tcW w:type="dxa" w:w="2160"/>
          </w:tcPr>
          <w:p>
            <w:r>
              <w:rPr>
                <w:sz w:val="18"/>
              </w:rPr>
              <w:t>---</w:t>
            </w:r>
          </w:p>
        </w:tc>
        <w:tc>
          <w:tcPr>
            <w:tcW w:type="dxa" w:w="2160"/>
          </w:tcPr>
          <w:p>
            <w:r>
              <w:rPr>
                <w:sz w:val="18"/>
              </w:rPr>
              <w:t>~2 hrs</w:t>
            </w:r>
          </w:p>
        </w:tc>
        <w:tc>
          <w:tcPr>
            <w:tcW w:type="dxa" w:w="2160"/>
          </w:tcPr>
          <w:p>
            <w:r>
              <w:rPr>
                <w:sz w:val="18"/>
              </w:rPr>
              <w:t>4%</w:t>
            </w:r>
          </w:p>
        </w:tc>
      </w:tr>
      <w:tr>
        <w:tc>
          <w:tcPr>
            <w:tcW w:type="dxa" w:w="2160"/>
          </w:tcPr>
          <w:p>
            <w:r>
              <w:rPr>
                <w:sz w:val="18"/>
              </w:rPr>
              <w:t>Semantic chunking</w:t>
            </w:r>
          </w:p>
        </w:tc>
        <w:tc>
          <w:tcPr>
            <w:tcW w:type="dxa" w:w="2160"/>
          </w:tcPr>
          <w:p>
            <w:r>
              <w:rPr>
                <w:sz w:val="18"/>
              </w:rPr>
              <w:t>---</w:t>
            </w:r>
          </w:p>
        </w:tc>
        <w:tc>
          <w:tcPr>
            <w:tcW w:type="dxa" w:w="2160"/>
          </w:tcPr>
          <w:p>
            <w:r>
              <w:rPr>
                <w:sz w:val="18"/>
              </w:rPr>
              <w:t>~30 min</w:t>
            </w:r>
          </w:p>
        </w:tc>
        <w:tc>
          <w:tcPr>
            <w:tcW w:type="dxa" w:w="2160"/>
          </w:tcPr>
          <w:p>
            <w:r>
              <w:rPr>
                <w:sz w:val="18"/>
              </w:rPr>
              <w:t>1%</w:t>
            </w:r>
          </w:p>
        </w:tc>
      </w:tr>
      <w:tr>
        <w:tc>
          <w:tcPr>
            <w:tcW w:type="dxa" w:w="2160"/>
          </w:tcPr>
          <w:p>
            <w:r>
              <w:rPr>
                <w:sz w:val="18"/>
              </w:rPr>
              <w:t>Expert selection</w:t>
            </w:r>
          </w:p>
        </w:tc>
        <w:tc>
          <w:tcPr>
            <w:tcW w:type="dxa" w:w="2160"/>
          </w:tcPr>
          <w:p>
            <w:r>
              <w:rPr>
                <w:sz w:val="18"/>
              </w:rPr>
              <w:t>0.02 s</w:t>
            </w:r>
          </w:p>
        </w:tc>
        <w:tc>
          <w:tcPr>
            <w:tcW w:type="dxa" w:w="2160"/>
          </w:tcPr>
          <w:p>
            <w:r>
              <w:rPr>
                <w:sz w:val="18"/>
              </w:rPr>
              <w:t>~12 min</w:t>
            </w:r>
          </w:p>
        </w:tc>
        <w:tc>
          <w:tcPr>
            <w:tcW w:type="dxa" w:w="2160"/>
          </w:tcPr>
          <w:p>
            <w:r>
              <w:rPr>
                <w:sz w:val="18"/>
              </w:rPr>
              <w:t>&lt;1%</w:t>
            </w:r>
          </w:p>
        </w:tc>
      </w:tr>
      <w:tr>
        <w:tc>
          <w:tcPr>
            <w:tcW w:type="dxa" w:w="2160"/>
          </w:tcPr>
          <w:p>
            <w:r>
              <w:rPr>
                <w:sz w:val="18"/>
              </w:rPr>
              <w:t>Knowledge retrieval</w:t>
            </w:r>
          </w:p>
        </w:tc>
        <w:tc>
          <w:tcPr>
            <w:tcW w:type="dxa" w:w="2160"/>
          </w:tcPr>
          <w:p>
            <w:r>
              <w:rPr>
                <w:sz w:val="18"/>
              </w:rPr>
              <w:t>0.15 s</w:t>
            </w:r>
          </w:p>
        </w:tc>
        <w:tc>
          <w:tcPr>
            <w:tcW w:type="dxa" w:w="2160"/>
          </w:tcPr>
          <w:p>
            <w:r>
              <w:rPr>
                <w:sz w:val="18"/>
              </w:rPr>
              <w:t>~88 min</w:t>
            </w:r>
          </w:p>
        </w:tc>
        <w:tc>
          <w:tcPr>
            <w:tcW w:type="dxa" w:w="2160"/>
          </w:tcPr>
          <w:p>
            <w:r>
              <w:rPr>
                <w:sz w:val="18"/>
              </w:rPr>
              <w:t>3%</w:t>
            </w:r>
          </w:p>
        </w:tc>
      </w:tr>
      <w:tr>
        <w:tc>
          <w:tcPr>
            <w:tcW w:type="dxa" w:w="2160"/>
          </w:tcPr>
          <w:p>
            <w:r>
              <w:rPr>
                <w:sz w:val="18"/>
              </w:rPr>
              <w:t>Parallel generation</w:t>
            </w:r>
          </w:p>
        </w:tc>
        <w:tc>
          <w:tcPr>
            <w:tcW w:type="dxa" w:w="2160"/>
          </w:tcPr>
          <w:p>
            <w:r>
              <w:rPr>
                <w:sz w:val="18"/>
              </w:rPr>
              <w:t>2.8 s</w:t>
            </w:r>
          </w:p>
        </w:tc>
        <w:tc>
          <w:tcPr>
            <w:tcW w:type="dxa" w:w="2160"/>
          </w:tcPr>
          <w:p>
            <w:r>
              <w:rPr>
                <w:sz w:val="18"/>
              </w:rPr>
              <w:t>~27 hrs</w:t>
            </w:r>
          </w:p>
        </w:tc>
        <w:tc>
          <w:tcPr>
            <w:tcW w:type="dxa" w:w="2160"/>
          </w:tcPr>
          <w:p>
            <w:r>
              <w:rPr>
                <w:sz w:val="18"/>
              </w:rPr>
              <w:t>58%</w:t>
            </w:r>
          </w:p>
        </w:tc>
      </w:tr>
      <w:tr>
        <w:tc>
          <w:tcPr>
            <w:tcW w:type="dxa" w:w="2160"/>
          </w:tcPr>
          <w:p>
            <w:r>
              <w:rPr>
                <w:sz w:val="18"/>
              </w:rPr>
              <w:t>MetaExpert feedback (R=2)</w:t>
            </w:r>
          </w:p>
        </w:tc>
        <w:tc>
          <w:tcPr>
            <w:tcW w:type="dxa" w:w="2160"/>
          </w:tcPr>
          <w:p>
            <w:r>
              <w:rPr>
                <w:sz w:val="18"/>
              </w:rPr>
              <w:t>1.9 s</w:t>
            </w:r>
          </w:p>
        </w:tc>
        <w:tc>
          <w:tcPr>
            <w:tcW w:type="dxa" w:w="2160"/>
          </w:tcPr>
          <w:p>
            <w:r>
              <w:rPr>
                <w:sz w:val="18"/>
              </w:rPr>
              <w:t>~18 hrs</w:t>
            </w:r>
          </w:p>
        </w:tc>
        <w:tc>
          <w:tcPr>
            <w:tcW w:type="dxa" w:w="2160"/>
          </w:tcPr>
          <w:p>
            <w:r>
              <w:rPr>
                <w:sz w:val="18"/>
              </w:rPr>
              <w:t>38%</w:t>
            </w:r>
          </w:p>
        </w:tc>
      </w:tr>
      <w:tr>
        <w:tc>
          <w:tcPr>
            <w:tcW w:type="dxa" w:w="2160"/>
          </w:tcPr>
          <w:p>
            <w:r>
              <w:rPr>
                <w:sz w:val="18"/>
              </w:rPr>
              <w:t>Quality scoring</w:t>
            </w:r>
          </w:p>
        </w:tc>
        <w:tc>
          <w:tcPr>
            <w:tcW w:type="dxa" w:w="2160"/>
          </w:tcPr>
          <w:p>
            <w:r>
              <w:rPr>
                <w:sz w:val="18"/>
              </w:rPr>
              <w:t>0.05 s</w:t>
            </w:r>
          </w:p>
        </w:tc>
        <w:tc>
          <w:tcPr>
            <w:tcW w:type="dxa" w:w="2160"/>
          </w:tcPr>
          <w:p>
            <w:r>
              <w:rPr>
                <w:sz w:val="18"/>
              </w:rPr>
              <w:t>~29 min</w:t>
            </w:r>
          </w:p>
        </w:tc>
        <w:tc>
          <w:tcPr>
            <w:tcW w:type="dxa" w:w="2160"/>
          </w:tcPr>
          <w:p>
            <w:r>
              <w:rPr>
                <w:sz w:val="18"/>
              </w:rPr>
              <w:t>1%</w:t>
            </w:r>
          </w:p>
        </w:tc>
      </w:tr>
      <w:tr>
        <w:tc>
          <w:tcPr>
            <w:tcW w:type="dxa" w:w="2160"/>
          </w:tcPr>
          <w:p>
            <w:r>
              <w:rPr>
                <w:sz w:val="18"/>
              </w:rPr>
              <w:t>Total</w:t>
            </w:r>
          </w:p>
        </w:tc>
        <w:tc>
          <w:tcPr>
            <w:tcW w:type="dxa" w:w="2160"/>
          </w:tcPr>
          <w:p>
            <w:r>
              <w:rPr>
                <w:sz w:val="18"/>
              </w:rPr>
              <w:t>~4.9 s</w:t>
            </w:r>
          </w:p>
        </w:tc>
        <w:tc>
          <w:tcPr>
            <w:tcW w:type="dxa" w:w="2160"/>
          </w:tcPr>
          <w:p>
            <w:r>
              <w:rPr>
                <w:sz w:val="18"/>
              </w:rPr>
              <w:t>~46 hrs</w:t>
            </w:r>
          </w:p>
        </w:tc>
        <w:tc>
          <w:tcPr>
            <w:tcW w:type="dxa" w:w="2160"/>
          </w:tcPr>
          <w:p>
            <w:r>
              <w:rPr>
                <w:sz w:val="18"/>
              </w:rPr>
              <w:t>100%</w:t>
            </w:r>
          </w:p>
        </w:tc>
      </w:tr>
    </w:tbl>
    <w:p>
      <w:pPr>
        <w:pStyle w:val="Normal"/>
      </w:pPr>
      <w:r>
        <w:rPr>
          <w:b/>
        </w:rPr>
        <w:t xml:space="preserve">Notes. </w:t>
      </w:r>
    </w:p>
    <w:p>
      <w:pPr>
        <w:pStyle w:val="ListBullet"/>
        <w:spacing w:after="60"/>
      </w:pPr>
      <w:r>
        <w:rPr>
          <w:sz w:val="20"/>
        </w:rPr>
        <w:t>Document parsing and chunking are I/O-bound and run on CPU; their times depend on PDF complexity.</w:t>
      </w:r>
    </w:p>
    <w:p>
      <w:pPr>
        <w:pStyle w:val="ListBullet"/>
        <w:spacing w:after="60"/>
      </w:pPr>
      <w:r>
        <w:rPr>
          <w:sz w:val="20"/>
        </w:rPr>
        <w:t>Generation and feedback are GPU-bound and dominate the pipeline.</w:t>
      </w:r>
    </w:p>
    <w:p>
      <w:pPr>
        <w:pStyle w:val="ListBullet"/>
        <w:spacing w:after="60"/>
      </w:pPr>
      <w:r>
        <w:rPr>
          <w:sz w:val="20"/>
        </w:rPr>
        <w:t>Parallel collaboration reduces per-record latency by invoking multiple experts in a single forward pass when possible.</w:t>
      </w:r>
    </w:p>
    <w:p>
      <w:pPr>
        <w:pStyle w:val="ListBullet"/>
        <w:spacing w:after="60"/>
      </w:pPr>
      <w:r>
        <w:rPr>
          <w:sz w:val="20"/>
        </w:rPr>
        <w:t>The 46-hour total assumes sequential processing; with 4-way parallel chunk processing across 4 A100 GPUs, the wall-clock time drops to ~12 hours.</w:t>
      </w:r>
    </w:p>
    <w:p w14:paraId="1A56CE7C">
      <w:pPr>
        <w:pStyle w:val="169"/>
      </w:pPr>
      <w:r>
        <w:t>ACKNOWLEDGMENTS</w:t>
      </w:r>
    </w:p>
    <w:p w14:paraId="0F3C2771">
      <w:r>
        <w:rPr>
          <w:sz w:val="19"/>
        </w:rPr>
        <w:t xml:space="preserve">The authors gratefully acknowledge the computing resources provided by HKUST(GZ) HPC. We also thank the project collaborators who helped complete the full </w:t>
      </w:r>
      <w:r>
        <w:rPr>
          <w:rFonts w:hint="eastAsia" w:eastAsia="宋体"/>
          <w:sz w:val="19"/>
          <w:lang w:eastAsia="zh-CN"/>
        </w:rPr>
        <w:t>VLDB</w:t>
      </w:r>
      <w:r>
        <w:rPr>
          <w:sz w:val="19"/>
        </w:rPr>
        <w:t xml:space="preserve"> experimental pipeline.</w:t>
      </w:r>
    </w:p>
    <w:p w14:paraId="11C1DCF7">
      <w:pPr>
        <w:pStyle w:val="169"/>
        <w:rPr>
          <w:rFonts w:eastAsia="宋体"/>
          <w:lang w:eastAsia="zh-CN"/>
        </w:rPr>
      </w:pPr>
      <w:r>
        <w:t>REFERENCES</w:t>
      </w:r>
      <w:r>
        <w:rPr>
          <w:rFonts w:hint="eastAsia" w:eastAsia="宋体"/>
          <w:lang w:eastAsia="zh-CN"/>
        </w:rPr>
        <w:t>`</w:t>
      </w:r>
    </w:p>
    <w:p w14:paraId="34968755">
      <w:pPr>
        <w:pStyle w:val="183"/>
      </w:pPr>
      <w:bookmarkStart w:id="11" w:name="ref_1"/>
      <w:r>
        <w:t>[1] Bender, E.M. and Friedman, B. Data Statements for Natural Language Processing: Toward Mitigating System Bias and Enabling Better Science. TACL, 2018.</w:t>
      </w:r>
      <w:bookmarkEnd w:id="11"/>
    </w:p>
    <w:p w14:paraId="0DD293C9">
      <w:pPr>
        <w:pStyle w:val="183"/>
      </w:pPr>
      <w:bookmarkStart w:id="12" w:name="ref_2"/>
      <w:r>
        <w:t>[2] Bingler, J.A. et al. Cheap Talk and Cherry-Picking: What ClimateBert Has to Say on Corporate Climate Risk Disclosures. Finance Research Letters, 2022.</w:t>
      </w:r>
      <w:bookmarkEnd w:id="12"/>
    </w:p>
    <w:p w14:paraId="627C3992">
      <w:pPr>
        <w:pStyle w:val="183"/>
      </w:pPr>
      <w:bookmarkStart w:id="13" w:name="ref_3"/>
      <w:r>
        <w:t>[3] Brown, T. et al. Language Models are Few-Shot Learners. NeurIPS 2020.</w:t>
      </w:r>
      <w:bookmarkEnd w:id="13"/>
    </w:p>
    <w:p w14:paraId="52B96EAE">
      <w:pPr>
        <w:pStyle w:val="183"/>
      </w:pPr>
      <w:bookmarkStart w:id="14" w:name="ref_4"/>
      <w:r>
        <w:t>[4] Buneman, P. et al. Why and Where: A Characterization of Data Provenance. ICDT 2001.</w:t>
      </w:r>
      <w:bookmarkEnd w:id="14"/>
    </w:p>
    <w:p w14:paraId="2ED7DE7B">
      <w:pPr>
        <w:pStyle w:val="183"/>
      </w:pPr>
      <w:bookmarkStart w:id="15" w:name="ref_5"/>
      <w:r>
        <w:t>[5] Chen, L. et al. AlpaGasus: Training a Better Alpaca with Fewer Data. ICLR 2024.</w:t>
      </w:r>
      <w:bookmarkEnd w:id="15"/>
    </w:p>
    <w:p w14:paraId="2A7EE349">
      <w:pPr>
        <w:pStyle w:val="183"/>
      </w:pPr>
      <w:bookmarkStart w:id="16" w:name="ref_6"/>
      <w:r>
        <w:t>[6] Chen, W. et al. AgentVerse: Facilitating Multi-Agent Collaboration and Exploring Emergent Behaviors. ICLR 2024.</w:t>
      </w:r>
      <w:bookmarkEnd w:id="16"/>
    </w:p>
    <w:p w14:paraId="60E22FC0">
      <w:pPr>
        <w:pStyle w:val="183"/>
      </w:pPr>
      <w:bookmarkStart w:id="17" w:name="ref_7"/>
      <w:r>
        <w:t>[7] Cheney, J. et al. Provenance in Databases: Why, How, and Where. Foundations and Trends in Databases, 2009.</w:t>
      </w:r>
      <w:bookmarkEnd w:id="17"/>
    </w:p>
    <w:p w14:paraId="604EB67C">
      <w:pPr>
        <w:pStyle w:val="183"/>
      </w:pPr>
      <w:bookmarkStart w:id="18" w:name="ref_8"/>
      <w:r>
        <w:t>[8] Chiang, W.-L. et al. Vicuna: An Open-Source Chatbot Impressing GPT-4 with 90% ChatGPT Quality. 2023.</w:t>
      </w:r>
      <w:bookmarkEnd w:id="18"/>
    </w:p>
    <w:p w14:paraId="46BB95CD">
      <w:pPr>
        <w:pStyle w:val="183"/>
      </w:pPr>
      <w:bookmarkStart w:id="19" w:name="ref_9"/>
      <w:r>
        <w:t>[9] Chu, X. et al. Data Cleaning: Overview and Emerging Challenges. SIGMOD 2016.</w:t>
      </w:r>
      <w:bookmarkEnd w:id="19"/>
    </w:p>
    <w:p w14:paraId="256EC2C0">
      <w:pPr>
        <w:pStyle w:val="183"/>
      </w:pPr>
      <w:bookmarkStart w:id="20" w:name="ref_10"/>
      <w:r>
        <w:t>[10] Cui, Y. et al. Tracing the Lineage of View Data in a Warehousing Environment. ACM TODS, 2000.</w:t>
      </w:r>
      <w:bookmarkEnd w:id="20"/>
    </w:p>
    <w:p w14:paraId="2531FB18">
      <w:pPr>
        <w:pStyle w:val="183"/>
      </w:pPr>
      <w:bookmarkStart w:id="21" w:name="ref_11"/>
      <w:r>
        <w:t>[11] Davidson, S.B. and Freire, J. Provenance and Scientific Workflows: Challenges and Opportunities. SIGMOD Record, 2008.</w:t>
      </w:r>
      <w:bookmarkEnd w:id="21"/>
    </w:p>
    <w:p w14:paraId="097A9C2B">
      <w:pPr>
        <w:pStyle w:val="183"/>
      </w:pPr>
      <w:bookmarkStart w:id="22" w:name="ref_12"/>
      <w:r>
        <w:t>[12] Doan, A. and Halevy, A. Semantic Integration Research in the Database Community. AI Magazine, 2005.</w:t>
      </w:r>
      <w:bookmarkEnd w:id="22"/>
    </w:p>
    <w:p w14:paraId="3FC5C5EF">
      <w:pPr>
        <w:pStyle w:val="183"/>
      </w:pPr>
      <w:bookmarkStart w:id="23" w:name="ref_13"/>
      <w:r>
        <w:t>[13] Du, Y. et al. Improving Factuality and Reasoning in Language Models through Multiagent Debate. ICML 2024.</w:t>
      </w:r>
      <w:bookmarkEnd w:id="23"/>
    </w:p>
    <w:p w14:paraId="21473107">
      <w:pPr>
        <w:pStyle w:val="183"/>
      </w:pPr>
      <w:bookmarkStart w:id="24" w:name="ref_14"/>
      <w:r>
        <w:t>[14] Friederich, D. et al. Automated Identification of Climate Risk Disclosures in Annual Corporate Reports. arXiv:2108.01415, 2021.</w:t>
      </w:r>
      <w:bookmarkEnd w:id="24"/>
    </w:p>
    <w:p w14:paraId="43308CCB">
      <w:pPr>
        <w:pStyle w:val="183"/>
      </w:pPr>
      <w:bookmarkStart w:id="25" w:name="ref_15"/>
      <w:r>
        <w:t>[15] Gebru, T. et al. Datasheets for Datasets. Communications of the ACM 64(12), 86-92, 2021.</w:t>
      </w:r>
      <w:bookmarkEnd w:id="25"/>
    </w:p>
    <w:p w14:paraId="38962AE1">
      <w:pPr>
        <w:pStyle w:val="183"/>
      </w:pPr>
      <w:bookmarkStart w:id="26" w:name="ref_16"/>
      <w:r>
        <w:t>[16] Grafberger, S. et al. Data Distribution Debugging in Machine Learning Pipelines. The VLDB Journal 31(5), 1103-1126, 2022.</w:t>
      </w:r>
      <w:bookmarkEnd w:id="26"/>
    </w:p>
    <w:p w14:paraId="73F7B920">
      <w:pPr>
        <w:pStyle w:val="183"/>
      </w:pPr>
      <w:bookmarkStart w:id="27" w:name="ref_17"/>
      <w:r>
        <w:t>[17] Green, T.J. et al. Provenance Semirings. PODS 2007.</w:t>
      </w:r>
      <w:bookmarkEnd w:id="27"/>
    </w:p>
    <w:p w14:paraId="0185F418">
      <w:pPr>
        <w:pStyle w:val="183"/>
      </w:pPr>
      <w:bookmarkStart w:id="28" w:name="ref_18"/>
      <w:r>
        <w:t>[18] Herschel, M. et al. A Survey on Provenance: What For? What Form? What From? The VLDB Journal 26(6), 881-906, 2017.</w:t>
      </w:r>
      <w:bookmarkEnd w:id="28"/>
    </w:p>
    <w:p w14:paraId="0AF1ECC0">
      <w:pPr>
        <w:pStyle w:val="183"/>
      </w:pPr>
      <w:bookmarkStart w:id="29" w:name="ref_19"/>
      <w:r>
        <w:t>[19] Hong, S. et al. MetaGPT: Meta Programming for A Multi-Agent Collaborative Framework. ICLR 2024.</w:t>
      </w:r>
      <w:bookmarkEnd w:id="29"/>
    </w:p>
    <w:p w14:paraId="7E1445C8">
      <w:pPr>
        <w:pStyle w:val="183"/>
      </w:pPr>
      <w:bookmarkStart w:id="30" w:name="ref_20"/>
      <w:r>
        <w:t>[20] Honovich, O. et al. Unnatural Instructions: Tuning Language Models with (Almost) No Human Labor. ACL 2023.</w:t>
      </w:r>
      <w:bookmarkEnd w:id="30"/>
    </w:p>
    <w:p w14:paraId="6AC612A9">
      <w:pPr>
        <w:pStyle w:val="183"/>
      </w:pPr>
      <w:bookmarkStart w:id="31" w:name="ref_21"/>
      <w:r>
        <w:t>[21] Huang, A.H. et al. FinBERT: A Large Language Model for Extracting Information from Financial Text. Contemporary Accounting Research, 2023.</w:t>
      </w:r>
      <w:bookmarkEnd w:id="31"/>
    </w:p>
    <w:p w14:paraId="4BC6CF83">
      <w:pPr>
        <w:pStyle w:val="183"/>
      </w:pPr>
      <w:bookmarkStart w:id="32" w:name="ref_22"/>
      <w:r>
        <w:t>[22] Ilyas, I.F. and Chu, X. Data Cleaning. Morgan &amp; Claypool Publishers, 2019.</w:t>
      </w:r>
      <w:bookmarkEnd w:id="32"/>
    </w:p>
    <w:p w14:paraId="2513A0A5">
      <w:pPr>
        <w:pStyle w:val="183"/>
      </w:pPr>
      <w:bookmarkStart w:id="33" w:name="ref_23"/>
      <w:r>
        <w:t>[23] Kolbel, J.F. et al. Ask BERT: How Regulatory Disclosure of Transition and Physical Climate Risks Affects the CDS Term Structure. Journal of Financial Econometrics, 2022.</w:t>
      </w:r>
      <w:bookmarkEnd w:id="33"/>
    </w:p>
    <w:p w14:paraId="7D069B6D">
      <w:pPr>
        <w:pStyle w:val="183"/>
      </w:pPr>
      <w:bookmarkStart w:id="34" w:name="ref_24"/>
      <w:r>
        <w:t>[24] Lewis, P. et al. Retrieval-Augmented Generation for Knowledge-Intensive NLP Tasks. NeurIPS 2020.</w:t>
      </w:r>
      <w:bookmarkEnd w:id="34"/>
    </w:p>
    <w:p w14:paraId="01859B5D">
      <w:pPr>
        <w:pStyle w:val="183"/>
      </w:pPr>
      <w:bookmarkStart w:id="35" w:name="ref_25"/>
      <w:r>
        <w:t>[25] Li, G. et al. CAMEL: Communicative Agents for Mind Exploration of Large Language Model Society. NeurIPS 2023.</w:t>
      </w:r>
      <w:bookmarkEnd w:id="35"/>
    </w:p>
    <w:p w14:paraId="7DA5EE83">
      <w:pPr>
        <w:pStyle w:val="183"/>
      </w:pPr>
      <w:bookmarkStart w:id="36" w:name="ref_26"/>
      <w:r>
        <w:t>[26] Li, Y. et al. Self-Alignment with Instruction Backtranslation. ICLR 2024.</w:t>
      </w:r>
      <w:bookmarkEnd w:id="36"/>
    </w:p>
    <w:p w14:paraId="61BC0C7A">
      <w:pPr>
        <w:pStyle w:val="183"/>
      </w:pPr>
      <w:bookmarkStart w:id="37" w:name="ref_27"/>
      <w:r>
        <w:t>[27] Lin, C.-Y. ROUGE: A Package for Automatic Evaluation of Summaries. ACL Workshop, 2004.</w:t>
      </w:r>
      <w:bookmarkEnd w:id="37"/>
    </w:p>
    <w:p w14:paraId="0637977D">
      <w:pPr>
        <w:pStyle w:val="183"/>
      </w:pPr>
      <w:bookmarkStart w:id="38" w:name="ref_28"/>
      <w:r>
        <w:t>[28] Liu, W. et al. What Makes Good Data for Alignment? A Comprehensive Study of Automatic Data Selection in Instruction Tuning. ICLR 2024.</w:t>
      </w:r>
      <w:bookmarkEnd w:id="38"/>
    </w:p>
    <w:p w14:paraId="1DBB50DB">
      <w:pPr>
        <w:pStyle w:val="183"/>
      </w:pPr>
      <w:bookmarkStart w:id="39" w:name="ref_29"/>
      <w:r>
        <w:t>[29] Luccioni, A.S. et al. Estimating the Carbon Footprint of BLOOM, a 176B Parameter Language Model. JMLR 2023.</w:t>
      </w:r>
      <w:bookmarkEnd w:id="39"/>
    </w:p>
    <w:p w14:paraId="3619AF1C">
      <w:pPr>
        <w:pStyle w:val="183"/>
      </w:pPr>
      <w:bookmarkStart w:id="40" w:name="ref_30"/>
      <w:r>
        <w:t>[30] Mitchell, M. et al. Model Cards for Model Reporting. FAT* 2019.</w:t>
      </w:r>
      <w:bookmarkEnd w:id="40"/>
    </w:p>
    <w:p w14:paraId="125F9EF0">
      <w:pPr>
        <w:pStyle w:val="183"/>
      </w:pPr>
      <w:bookmarkStart w:id="41" w:name="ref_31"/>
      <w:r>
        <w:t>[31] Mukherjee, S. et al. Orca: Progressive Learning from Complex Explanation Traces of GPT-4. arXiv:2306.02707, 2023.</w:t>
      </w:r>
      <w:bookmarkEnd w:id="41"/>
    </w:p>
    <w:p w14:paraId="796127E3">
      <w:pPr>
        <w:pStyle w:val="183"/>
      </w:pPr>
      <w:bookmarkStart w:id="42" w:name="ref_32"/>
      <w:r>
        <w:t>[32] Ouyang, L. et al. Training Language Models to Follow Instructions with Human Feedback. NeurIPS 2022.</w:t>
      </w:r>
      <w:bookmarkEnd w:id="42"/>
    </w:p>
    <w:p w14:paraId="1F443357">
      <w:pPr>
        <w:pStyle w:val="183"/>
      </w:pPr>
      <w:bookmarkStart w:id="43" w:name="ref_33"/>
      <w:r>
        <w:t>[33] Papineni, K. et al. BLEU: a Method for Automatic Evaluation of Machine Translation. ACL, 2002.</w:t>
      </w:r>
      <w:bookmarkEnd w:id="43"/>
    </w:p>
    <w:p w14:paraId="16725E75">
      <w:pPr>
        <w:pStyle w:val="183"/>
      </w:pPr>
      <w:bookmarkStart w:id="44" w:name="ref_34"/>
      <w:r>
        <w:t>[34] Park, J.S. et al. Generative Agents: Interactive Simulacra of Human Behavior. UIST 2023.</w:t>
      </w:r>
      <w:bookmarkEnd w:id="44"/>
    </w:p>
    <w:p w14:paraId="3C9E7DC7">
      <w:pPr>
        <w:pStyle w:val="183"/>
      </w:pPr>
      <w:bookmarkStart w:id="45" w:name="ref_35"/>
      <w:r>
        <w:t>[35] Polyzotis, N. et al. Data Management Challenges in Production Machine Learning. SIGMOD 2017.</w:t>
      </w:r>
      <w:bookmarkEnd w:id="45"/>
    </w:p>
    <w:p w14:paraId="274C1BE1">
      <w:pPr>
        <w:pStyle w:val="183"/>
      </w:pPr>
      <w:bookmarkStart w:id="46" w:name="ref_36"/>
      <w:r>
        <w:t>[36] Rafailov, R. et al. Direct Preference Optimization: Your Language Model is Secretly a Reward Model. NeurIPS 2023.</w:t>
      </w:r>
      <w:bookmarkEnd w:id="46"/>
    </w:p>
    <w:p w14:paraId="2DD63F63">
      <w:pPr>
        <w:pStyle w:val="183"/>
      </w:pPr>
      <w:bookmarkStart w:id="47" w:name="ref_37"/>
      <w:r>
        <w:t>[37] Rahm, E. and Do, H.H. Data Cleaning: Problems and Current Approaches. IEEE Data Eng. Bulletin, 2000.</w:t>
      </w:r>
      <w:bookmarkEnd w:id="47"/>
    </w:p>
    <w:p w14:paraId="0F4A78BB">
      <w:pPr>
        <w:pStyle w:val="183"/>
      </w:pPr>
      <w:bookmarkStart w:id="48" w:name="ref_38"/>
      <w:r>
        <w:t>[38] Rekatsinas, T. et al. HoloClean: Holistic Data Repairs with Probabilistic Inference. PVLDB 11(9), 2018.</w:t>
      </w:r>
      <w:bookmarkEnd w:id="48"/>
    </w:p>
    <w:p w14:paraId="37066784">
      <w:pPr>
        <w:pStyle w:val="183"/>
      </w:pPr>
      <w:bookmarkStart w:id="49" w:name="ref_39"/>
      <w:r>
        <w:t>[39] Sanh, V. et al. Multitask Prompted Training Enables Zero-Shot Task Generalization. ICLR 2022.</w:t>
      </w:r>
      <w:bookmarkEnd w:id="49"/>
    </w:p>
    <w:p w14:paraId="0BBDF4AB">
      <w:pPr>
        <w:pStyle w:val="183"/>
      </w:pPr>
      <w:bookmarkStart w:id="50" w:name="ref_40"/>
      <w:r>
        <w:t>[40] Schelter, S. et al. Automatically Tracking Metadata and Provenance of Machine Learning Experiments. NIPS 2017 Workshop on ML Systems.</w:t>
      </w:r>
      <w:bookmarkEnd w:id="50"/>
    </w:p>
    <w:p w14:paraId="11600310">
      <w:pPr>
        <w:pStyle w:val="183"/>
      </w:pPr>
      <w:bookmarkStart w:id="51" w:name="ref_41"/>
      <w:r>
        <w:t>[41] Taori, R. et al. Stanford Alpaca: An Instruction-Following LLaMA Model. Stanford University, 2023.</w:t>
      </w:r>
      <w:bookmarkEnd w:id="51"/>
    </w:p>
    <w:p w14:paraId="2B624678">
      <w:pPr>
        <w:pStyle w:val="183"/>
      </w:pPr>
      <w:bookmarkStart w:id="52" w:name="ref_42"/>
      <w:r>
        <w:t>[42] Touvron, H. et al. LLaMA: Open and Efficient Foundation Language Models. arXiv:2302.13971, 2023.</w:t>
      </w:r>
      <w:bookmarkEnd w:id="52"/>
    </w:p>
    <w:p w14:paraId="74363245">
      <w:pPr>
        <w:pStyle w:val="183"/>
      </w:pPr>
      <w:bookmarkStart w:id="53" w:name="ref_43"/>
      <w:r>
        <w:t>[43] Touvron, H. et al. Llama 2: Open Foundation and Fine-Tuned Chat Models. arXiv:2307.09288, 2023.</w:t>
      </w:r>
      <w:bookmarkEnd w:id="53"/>
    </w:p>
    <w:p w14:paraId="5E33889C">
      <w:pPr>
        <w:pStyle w:val="183"/>
      </w:pPr>
      <w:bookmarkStart w:id="54" w:name="ref_44"/>
      <w:r>
        <w:t>[44] Tunstall, L. et al. Zephyr: Direct Distillation of LM Alignment. arXiv:2310.16944, 2023.</w:t>
      </w:r>
      <w:bookmarkEnd w:id="54"/>
    </w:p>
    <w:p w14:paraId="7A0CB923">
      <w:pPr>
        <w:pStyle w:val="183"/>
      </w:pPr>
      <w:bookmarkStart w:id="55" w:name="ref_45"/>
      <w:r>
        <w:t>[45] Varini, F.S. et al. ClimaText: A Dataset for Climate Change Topic Detection. NeurIPS 2020 Workshop on Tackling Climate Change with ML.</w:t>
      </w:r>
      <w:bookmarkEnd w:id="55"/>
    </w:p>
    <w:p w14:paraId="55276634">
      <w:pPr>
        <w:pStyle w:val="183"/>
      </w:pPr>
      <w:bookmarkStart w:id="56" w:name="ref_46"/>
      <w:r>
        <w:t>[46] Wang, Y. et al. Self-Instruct: Aligning Language Models with Self-Generated Instructions. ACL 2023.</w:t>
      </w:r>
      <w:bookmarkEnd w:id="56"/>
    </w:p>
    <w:p w14:paraId="6388C7B5">
      <w:pPr>
        <w:pStyle w:val="183"/>
      </w:pPr>
      <w:bookmarkStart w:id="57" w:name="ref_47"/>
      <w:r>
        <w:t>[47] Wang, Y. et al. How Far Can Camels Go? Exploring the State of Instruction Tuning on Open Resources. NeurIPS 2023 D&amp;B.</w:t>
      </w:r>
      <w:bookmarkEnd w:id="57"/>
    </w:p>
    <w:p w14:paraId="11625D66">
      <w:pPr>
        <w:pStyle w:val="183"/>
      </w:pPr>
      <w:bookmarkStart w:id="58" w:name="ref_48"/>
      <w:r>
        <w:t>[48] Wang, L. et al. A Survey on Large Language Model based Autonomous Agents. Frontiers of Computer Science, 2024.</w:t>
      </w:r>
      <w:bookmarkEnd w:id="58"/>
    </w:p>
    <w:p w14:paraId="05A5C216">
      <w:pPr>
        <w:pStyle w:val="183"/>
      </w:pPr>
      <w:bookmarkStart w:id="59" w:name="ref_49"/>
      <w:r>
        <w:t>[49] Webersinke, N. et al. ClimateBERT: A Pretrained Language Model for Climate-Related Text. arXiv 2021.</w:t>
      </w:r>
      <w:bookmarkEnd w:id="59"/>
    </w:p>
    <w:p w14:paraId="43138A07">
      <w:pPr>
        <w:pStyle w:val="183"/>
      </w:pPr>
      <w:bookmarkStart w:id="60" w:name="ref_50"/>
      <w:r>
        <w:t>[50] Wei, J. et al. Finetuned Language Models are Zero-Shot Learners. ICLR 2022.</w:t>
      </w:r>
      <w:bookmarkEnd w:id="60"/>
    </w:p>
    <w:p w14:paraId="5FA305AF">
      <w:pPr>
        <w:pStyle w:val="183"/>
      </w:pPr>
      <w:bookmarkStart w:id="61" w:name="ref_51"/>
      <w:r>
        <w:t>[51] Wei, J. et al. Chain-of-Thought Prompting Elicits Reasoning in Large Language Models. NeurIPS 2022.</w:t>
      </w:r>
      <w:bookmarkEnd w:id="61"/>
    </w:p>
    <w:p w14:paraId="0C1DEDEF">
      <w:pPr>
        <w:pStyle w:val="183"/>
      </w:pPr>
      <w:bookmarkStart w:id="62" w:name="ref_52"/>
      <w:r>
        <w:t>[52] Whang, S.E. et al. Data Collection and Quality Challenges in Deep Learning: A Data-Centric AI Perspective. The VLDB Journal 32(4), 791-813, 2023.</w:t>
      </w:r>
      <w:bookmarkEnd w:id="62"/>
    </w:p>
    <w:p w14:paraId="733D97C1">
      <w:pPr>
        <w:pStyle w:val="183"/>
      </w:pPr>
      <w:bookmarkStart w:id="63" w:name="ref_53"/>
      <w:r>
        <w:t>[53] Wu, S. et al. BloombergGPT: A Large Language Model for Finance. arXiv 2023.</w:t>
      </w:r>
      <w:bookmarkEnd w:id="63"/>
    </w:p>
    <w:p w14:paraId="1CF3AE38">
      <w:pPr>
        <w:pStyle w:val="183"/>
      </w:pPr>
      <w:bookmarkStart w:id="64" w:name="ref_54"/>
      <w:r>
        <w:t>[54] Wu, Q., Bansal, G., Zhang, J. et al. AutoGen: Enabling Next-Gen LLM Applications via Multi-Agent Conversation. 2023.</w:t>
      </w:r>
      <w:bookmarkEnd w:id="64"/>
    </w:p>
    <w:p w14:paraId="4B6F4B6C">
      <w:pPr>
        <w:pStyle w:val="183"/>
      </w:pPr>
      <w:bookmarkStart w:id="65" w:name="ref_55"/>
      <w:r>
        <w:t>[55] Xie, Q. et al. PIXIU: A Large Language Model, Instruction Data and Evaluation Benchmark for Finance. arXiv:2306.05443, 2023.</w:t>
      </w:r>
      <w:bookmarkEnd w:id="65"/>
    </w:p>
    <w:p w14:paraId="07AD471A">
      <w:pPr>
        <w:pStyle w:val="183"/>
      </w:pPr>
      <w:bookmarkStart w:id="66" w:name="ref_56"/>
      <w:r>
        <w:t>[56] Xu, C. et al. WizardLM: Empowering Large Pre-Trained Language Models to Follow Complex Instructions. ICLR 2024.</w:t>
      </w:r>
      <w:bookmarkEnd w:id="66"/>
    </w:p>
    <w:p w14:paraId="1D8D7442">
      <w:pPr>
        <w:pStyle w:val="183"/>
      </w:pPr>
      <w:bookmarkStart w:id="67" w:name="ref_57"/>
      <w:r>
        <w:t>[57] Xu, C. et al. Baize: An Open-Source Chat Model with Parameter-Efficient Tuning on Self-Chat Data. EMNLP 2023.</w:t>
      </w:r>
      <w:bookmarkEnd w:id="67"/>
    </w:p>
    <w:p w14:paraId="56B1CA36">
      <w:pPr>
        <w:pStyle w:val="183"/>
      </w:pPr>
      <w:bookmarkStart w:id="68" w:name="ref_58"/>
      <w:r>
        <w:t>[58] Yang, A. et al. Qwen2 Technical Report. arXiv 2024.</w:t>
      </w:r>
      <w:bookmarkEnd w:id="68"/>
    </w:p>
    <w:p w14:paraId="7DA76955">
      <w:pPr>
        <w:pStyle w:val="183"/>
      </w:pPr>
      <w:bookmarkStart w:id="69" w:name="ref_59"/>
      <w:r>
        <w:t>[59] Yang, H. et al. FinGPT: Open-Source Financial Large Language Models. IJCAI 2023 FinLLM Workshop.</w:t>
      </w:r>
      <w:bookmarkEnd w:id="69"/>
    </w:p>
    <w:p w14:paraId="1A80DB6A">
      <w:pPr>
        <w:pStyle w:val="183"/>
      </w:pPr>
      <w:bookmarkStart w:id="70" w:name="ref_60"/>
      <w:r>
        <w:t>[60] Zha, D. et al. Data-centric Artificial Intelligence: A Survey. ACM Computing Surveys, 2023.</w:t>
      </w:r>
      <w:bookmarkEnd w:id="70"/>
    </w:p>
    <w:p w14:paraId="5C6E3CF6">
      <w:pPr>
        <w:pStyle w:val="183"/>
      </w:pPr>
      <w:bookmarkStart w:id="71" w:name="ref_61"/>
      <w:r>
        <w:t>[61] Zhang, S. et al. Instruction Tuning for Large Language Models: A Survey. arXiv:2308.10792, 2023.</w:t>
      </w:r>
      <w:bookmarkEnd w:id="71"/>
    </w:p>
    <w:p w14:paraId="0C257FD7">
      <w:pPr>
        <w:pStyle w:val="183"/>
      </w:pPr>
      <w:bookmarkStart w:id="72" w:name="ref_62"/>
      <w:r>
        <w:t>[62] Zhang, T. et al. BERTScore: Evaluating Text Generation with BERT. ICLR 2020.</w:t>
      </w:r>
      <w:bookmarkEnd w:id="72"/>
    </w:p>
    <w:p w14:paraId="15A5FFC0">
      <w:pPr>
        <w:pStyle w:val="183"/>
      </w:pPr>
      <w:bookmarkStart w:id="73" w:name="ref_63"/>
      <w:r>
        <w:t>[63] Zheng, L. et al. Judging LLM-as-a-Judge with MT-Bench and Chatbot Arena. NeurIPS 2023.</w:t>
      </w:r>
      <w:bookmarkEnd w:id="73"/>
    </w:p>
    <w:p w14:paraId="1C511569">
      <w:pPr>
        <w:pStyle w:val="183"/>
      </w:pPr>
      <w:bookmarkStart w:id="74" w:name="ref_64"/>
      <w:r>
        <w:t>[64] Zhou, C. et al. LIMA: Less Is More for Alignment. NeurIPS 2023.</w:t>
      </w:r>
      <w:bookmarkEnd w:id="74"/>
    </w:p>
    <w:p w14:paraId="0920BD28">
      <w:pPr>
        <w:spacing w:after="20" w:line="240" w:lineRule="auto"/>
      </w:pPr>
    </w:p>
    <w:sectPr>
      <w:type w:val="continuous"/>
      <w:pgSz w:w="12240" w:h="15840"/>
      <w:pgMar w:top="1080" w:right="1080" w:bottom="1152" w:left="1080" w:header="720" w:footer="720" w:gutter="0"/>
      <w:cols w:space="72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Linux Libertine">
    <w:altName w:val="Cambria"/>
    <w:panose1 w:val="00000000000000000000"/>
    <w:charset w:val="00"/>
    <w:family w:val="auto"/>
    <w:pitch w:val="default"/>
    <w:sig w:usb0="00000000" w:usb1="00000000" w:usb2="02000020" w:usb3="00000000" w:csb0="000001BF" w:csb1="00000000"/>
  </w:font>
  <w:font w:name="Verdana">
    <w:panose1 w:val="020B0604030504040204"/>
    <w:charset w:val="00"/>
    <w:family w:val="swiss"/>
    <w:pitch w:val="default"/>
    <w:sig w:usb0="A00006FF" w:usb1="4000205B" w:usb2="00000010" w:usb3="00000000" w:csb0="2000019F" w:csb1="00000000"/>
  </w:font>
  <w:font w:name="Linux Biolinum">
    <w:altName w:val="Times New Roman"/>
    <w:panose1 w:val="00000000000000000000"/>
    <w:charset w:val="00"/>
    <w:family w:val="auto"/>
    <w:pitch w:val="default"/>
    <w:sig w:usb0="00000000" w:usb1="00000000" w:usb2="00000020" w:usb3="00000000" w:csb0="000001BF"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EDCA0">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7FAC8">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720"/>
  <w:characterSpacingControl w:val="doNotCompress"/>
  <w:footnotePr>
    <w:footnote w:id="0"/>
    <w:footnote w:id="1"/>
  </w:footnotePr>
  <w:endnotePr>
    <w:numFmt w:val="decimal"/>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xYTYyN2Q2OGNlODIwZmVhNTE1OTNmMmJhYTRjMjkifQ=="/>
  </w:docVars>
  <w:rsids>
    <w:rsidRoot w:val="00B47730"/>
    <w:rsid w:val="00004C21"/>
    <w:rsid w:val="00011F50"/>
    <w:rsid w:val="000160AD"/>
    <w:rsid w:val="00021796"/>
    <w:rsid w:val="00034616"/>
    <w:rsid w:val="000349F5"/>
    <w:rsid w:val="000469AC"/>
    <w:rsid w:val="00046E5C"/>
    <w:rsid w:val="00050E14"/>
    <w:rsid w:val="0006063C"/>
    <w:rsid w:val="0006282B"/>
    <w:rsid w:val="00062EF6"/>
    <w:rsid w:val="000A004C"/>
    <w:rsid w:val="000D0B6C"/>
    <w:rsid w:val="001003B1"/>
    <w:rsid w:val="001064F6"/>
    <w:rsid w:val="00116B93"/>
    <w:rsid w:val="0015074B"/>
    <w:rsid w:val="001678FD"/>
    <w:rsid w:val="001A4337"/>
    <w:rsid w:val="001F0FAA"/>
    <w:rsid w:val="00204610"/>
    <w:rsid w:val="00205ECD"/>
    <w:rsid w:val="00243A11"/>
    <w:rsid w:val="00257FB4"/>
    <w:rsid w:val="0028111F"/>
    <w:rsid w:val="00293986"/>
    <w:rsid w:val="0029639D"/>
    <w:rsid w:val="002A45E4"/>
    <w:rsid w:val="002B0AEE"/>
    <w:rsid w:val="002D4930"/>
    <w:rsid w:val="002D507F"/>
    <w:rsid w:val="002E03E4"/>
    <w:rsid w:val="002F14EF"/>
    <w:rsid w:val="002F3E52"/>
    <w:rsid w:val="00326F90"/>
    <w:rsid w:val="003277E9"/>
    <w:rsid w:val="003356D6"/>
    <w:rsid w:val="00351039"/>
    <w:rsid w:val="00351434"/>
    <w:rsid w:val="00386E80"/>
    <w:rsid w:val="00396F9A"/>
    <w:rsid w:val="003A0E90"/>
    <w:rsid w:val="003A3D9E"/>
    <w:rsid w:val="003D2908"/>
    <w:rsid w:val="003F07A2"/>
    <w:rsid w:val="003F7451"/>
    <w:rsid w:val="00416BC1"/>
    <w:rsid w:val="0042292B"/>
    <w:rsid w:val="004425AE"/>
    <w:rsid w:val="00442921"/>
    <w:rsid w:val="004518E9"/>
    <w:rsid w:val="004626F6"/>
    <w:rsid w:val="00476EF6"/>
    <w:rsid w:val="00492619"/>
    <w:rsid w:val="004A647E"/>
    <w:rsid w:val="004B073C"/>
    <w:rsid w:val="004F0F48"/>
    <w:rsid w:val="004F2579"/>
    <w:rsid w:val="004F7426"/>
    <w:rsid w:val="005324E9"/>
    <w:rsid w:val="005422FC"/>
    <w:rsid w:val="00551A66"/>
    <w:rsid w:val="00572157"/>
    <w:rsid w:val="005806BD"/>
    <w:rsid w:val="0058582E"/>
    <w:rsid w:val="00592EE2"/>
    <w:rsid w:val="005D23EC"/>
    <w:rsid w:val="005D697E"/>
    <w:rsid w:val="00612FDD"/>
    <w:rsid w:val="00617194"/>
    <w:rsid w:val="006265DD"/>
    <w:rsid w:val="00674D07"/>
    <w:rsid w:val="00685647"/>
    <w:rsid w:val="00694096"/>
    <w:rsid w:val="00696724"/>
    <w:rsid w:val="006A3FD3"/>
    <w:rsid w:val="006F2242"/>
    <w:rsid w:val="00703AF7"/>
    <w:rsid w:val="00735D48"/>
    <w:rsid w:val="007473B3"/>
    <w:rsid w:val="007849D7"/>
    <w:rsid w:val="007A2408"/>
    <w:rsid w:val="007A33A8"/>
    <w:rsid w:val="007A6566"/>
    <w:rsid w:val="007B4B9B"/>
    <w:rsid w:val="007B5528"/>
    <w:rsid w:val="007D37DC"/>
    <w:rsid w:val="00801DE3"/>
    <w:rsid w:val="00825DEF"/>
    <w:rsid w:val="00847341"/>
    <w:rsid w:val="00847FD6"/>
    <w:rsid w:val="0085682D"/>
    <w:rsid w:val="008825CB"/>
    <w:rsid w:val="00883562"/>
    <w:rsid w:val="00887E77"/>
    <w:rsid w:val="00893422"/>
    <w:rsid w:val="008A6CE3"/>
    <w:rsid w:val="008D6F85"/>
    <w:rsid w:val="0099123F"/>
    <w:rsid w:val="0099562B"/>
    <w:rsid w:val="009A2DC8"/>
    <w:rsid w:val="009B209F"/>
    <w:rsid w:val="009C3125"/>
    <w:rsid w:val="009E29A8"/>
    <w:rsid w:val="009E764B"/>
    <w:rsid w:val="00A0126F"/>
    <w:rsid w:val="00A05D60"/>
    <w:rsid w:val="00A144ED"/>
    <w:rsid w:val="00A70779"/>
    <w:rsid w:val="00A9441E"/>
    <w:rsid w:val="00AA1D8D"/>
    <w:rsid w:val="00AA7A50"/>
    <w:rsid w:val="00AC169D"/>
    <w:rsid w:val="00B0308D"/>
    <w:rsid w:val="00B15C37"/>
    <w:rsid w:val="00B37807"/>
    <w:rsid w:val="00B47730"/>
    <w:rsid w:val="00B84036"/>
    <w:rsid w:val="00B913B7"/>
    <w:rsid w:val="00BA02E6"/>
    <w:rsid w:val="00C1516A"/>
    <w:rsid w:val="00C325E2"/>
    <w:rsid w:val="00C40B98"/>
    <w:rsid w:val="00C47732"/>
    <w:rsid w:val="00C50EBE"/>
    <w:rsid w:val="00C60E6F"/>
    <w:rsid w:val="00C96721"/>
    <w:rsid w:val="00CA6A0D"/>
    <w:rsid w:val="00CB0664"/>
    <w:rsid w:val="00CB2582"/>
    <w:rsid w:val="00CB2EC7"/>
    <w:rsid w:val="00CC34D3"/>
    <w:rsid w:val="00CF566F"/>
    <w:rsid w:val="00D02EA5"/>
    <w:rsid w:val="00D14E8A"/>
    <w:rsid w:val="00D21CAB"/>
    <w:rsid w:val="00D43D74"/>
    <w:rsid w:val="00D67C13"/>
    <w:rsid w:val="00D752CC"/>
    <w:rsid w:val="00D836E2"/>
    <w:rsid w:val="00D92BA9"/>
    <w:rsid w:val="00DB0B5D"/>
    <w:rsid w:val="00DF3A41"/>
    <w:rsid w:val="00E26689"/>
    <w:rsid w:val="00E3133D"/>
    <w:rsid w:val="00E315F9"/>
    <w:rsid w:val="00E60C17"/>
    <w:rsid w:val="00E70C67"/>
    <w:rsid w:val="00E97CD6"/>
    <w:rsid w:val="00EB0B85"/>
    <w:rsid w:val="00EB6BE1"/>
    <w:rsid w:val="00ED0359"/>
    <w:rsid w:val="00EE5047"/>
    <w:rsid w:val="00EF211E"/>
    <w:rsid w:val="00EF2A34"/>
    <w:rsid w:val="00EF45F8"/>
    <w:rsid w:val="00F13ECA"/>
    <w:rsid w:val="00F50A7B"/>
    <w:rsid w:val="00F54B03"/>
    <w:rsid w:val="00F57516"/>
    <w:rsid w:val="00F576A7"/>
    <w:rsid w:val="00F71603"/>
    <w:rsid w:val="00F724E7"/>
    <w:rsid w:val="00F84E5B"/>
    <w:rsid w:val="00FA2254"/>
    <w:rsid w:val="00FA684C"/>
    <w:rsid w:val="00FC693F"/>
    <w:rsid w:val="00FE5222"/>
    <w:rsid w:val="00FF4C97"/>
    <w:rsid w:val="20147796"/>
    <w:rsid w:val="30D362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52" w:lineRule="auto"/>
      <w:jc w:val="both"/>
    </w:pPr>
    <w:rPr>
      <w:rFonts w:ascii="Times New Roman" w:hAnsi="Times New Roman" w:eastAsiaTheme="minorEastAsia" w:cstheme="minorBidi"/>
      <w:sz w:val="20"/>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footnote text"/>
    <w:basedOn w:val="1"/>
    <w:link w:val="174"/>
    <w:qFormat/>
    <w:uiPriority w:val="0"/>
    <w:pPr>
      <w:spacing w:after="0" w:line="240" w:lineRule="auto"/>
    </w:pPr>
    <w:rPr>
      <w:rFonts w:ascii="Linux Libertine" w:hAnsi="Linux Libertine" w:eastAsiaTheme="minorHAnsi"/>
      <w:sz w:val="14"/>
    </w:rPr>
  </w:style>
  <w:style w:type="paragraph" w:styleId="29">
    <w:name w:val="Body Text 2"/>
    <w:basedOn w:val="1"/>
    <w:link w:val="147"/>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unhideWhenUsed/>
    <w:uiPriority w:val="99"/>
    <w:rPr>
      <w:color w:val="0000FF" w:themeColor="hyperlink"/>
      <w:u w:val="single"/>
      <w14:textFill>
        <w14:solidFill>
          <w14:schemeClr w14:val="hlink"/>
        </w14:solidFill>
      </w14:textFill>
    </w:rPr>
  </w:style>
  <w:style w:type="character" w:customStyle="1" w:styleId="137">
    <w:name w:val="页眉 字符"/>
    <w:basedOn w:val="133"/>
    <w:link w:val="25"/>
    <w:qFormat/>
    <w:uiPriority w:val="99"/>
  </w:style>
  <w:style w:type="character" w:customStyle="1" w:styleId="138">
    <w:name w:val="页脚 字符"/>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标题 1 字符"/>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3"/>
    <w:link w:val="5"/>
    <w:qFormat/>
    <w:uiPriority w:val="9"/>
    <w:rPr>
      <w:rFonts w:asciiTheme="majorHAnsi" w:hAnsiTheme="majorHAnsi" w:eastAsiaTheme="majorEastAsia" w:cstheme="majorBidi"/>
      <w:b/>
      <w:bCs/>
      <w:color w:val="4F81BD" w:themeColor="accent1"/>
      <w:sz w:val="20"/>
      <w14:textFill>
        <w14:solidFill>
          <w14:schemeClr w14:val="accent1"/>
        </w14:solidFill>
      </w14:textFill>
    </w:rPr>
  </w:style>
  <w:style w:type="character" w:customStyle="1" w:styleId="143">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3"/>
    <w:link w:val="19"/>
    <w:qFormat/>
    <w:uiPriority w:val="99"/>
  </w:style>
  <w:style w:type="character" w:customStyle="1" w:styleId="147">
    <w:name w:val="正文文本 2 字符"/>
    <w:basedOn w:val="133"/>
    <w:link w:val="29"/>
    <w:qFormat/>
    <w:uiPriority w:val="99"/>
  </w:style>
  <w:style w:type="character" w:customStyle="1" w:styleId="148">
    <w:name w:val="正文文本 3 字符"/>
    <w:basedOn w:val="133"/>
    <w:link w:val="17"/>
    <w:qFormat/>
    <w:uiPriority w:val="99"/>
    <w:rPr>
      <w:sz w:val="16"/>
      <w:szCs w:val="16"/>
    </w:rPr>
  </w:style>
  <w:style w:type="character" w:customStyle="1" w:styleId="149">
    <w:name w:val="宏文本 字符"/>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3"/>
    <w:link w:val="150"/>
    <w:qFormat/>
    <w:uiPriority w:val="29"/>
    <w:rPr>
      <w:rFonts w:ascii="Times New Roman" w:hAnsi="Times New Roman"/>
      <w:i/>
      <w:iCs/>
      <w:color w:val="000000" w:themeColor="text1"/>
      <w:sz w:val="20"/>
      <w14:textFill>
        <w14:solidFill>
          <w14:schemeClr w14:val="tx1"/>
        </w14:solidFill>
      </w14:textFill>
    </w:rPr>
  </w:style>
  <w:style w:type="character" w:customStyle="1" w:styleId="152">
    <w:name w:val="标题 4 字符"/>
    <w:basedOn w:val="133"/>
    <w:link w:val="6"/>
    <w:semiHidden/>
    <w:qFormat/>
    <w:uiPriority w:val="9"/>
    <w:rPr>
      <w:rFonts w:asciiTheme="majorHAnsi" w:hAnsiTheme="majorHAnsi" w:eastAsiaTheme="majorEastAsia" w:cstheme="majorBidi"/>
      <w:b/>
      <w:bCs/>
      <w:i/>
      <w:iCs/>
      <w:color w:val="4F81BD" w:themeColor="accent1"/>
      <w:sz w:val="20"/>
      <w14:textFill>
        <w14:solidFill>
          <w14:schemeClr w14:val="accent1"/>
        </w14:solidFill>
      </w14:textFill>
    </w:rPr>
  </w:style>
  <w:style w:type="character" w:customStyle="1" w:styleId="153">
    <w:name w:val="标题 5 字符"/>
    <w:basedOn w:val="133"/>
    <w:link w:val="7"/>
    <w:semiHidden/>
    <w:qFormat/>
    <w:uiPriority w:val="9"/>
    <w:rPr>
      <w:rFonts w:asciiTheme="majorHAnsi" w:hAnsiTheme="majorHAnsi" w:eastAsiaTheme="majorEastAsia" w:cstheme="majorBidi"/>
      <w:color w:val="254061" w:themeColor="accent1" w:themeShade="80"/>
      <w:sz w:val="20"/>
    </w:rPr>
  </w:style>
  <w:style w:type="character" w:customStyle="1" w:styleId="154">
    <w:name w:val="标题 6 字符"/>
    <w:basedOn w:val="133"/>
    <w:link w:val="8"/>
    <w:semiHidden/>
    <w:qFormat/>
    <w:uiPriority w:val="9"/>
    <w:rPr>
      <w:rFonts w:asciiTheme="majorHAnsi" w:hAnsiTheme="majorHAnsi" w:eastAsiaTheme="majorEastAsia" w:cstheme="majorBidi"/>
      <w:i/>
      <w:iCs/>
      <w:color w:val="254061" w:themeColor="accent1" w:themeShade="80"/>
      <w:sz w:val="20"/>
    </w:rPr>
  </w:style>
  <w:style w:type="character" w:customStyle="1" w:styleId="155">
    <w:name w:val="标题 7 字符"/>
    <w:basedOn w:val="133"/>
    <w:link w:val="9"/>
    <w:semiHidden/>
    <w:qFormat/>
    <w:uiPriority w:val="9"/>
    <w:rPr>
      <w:rFonts w:asciiTheme="majorHAnsi" w:hAnsiTheme="majorHAnsi" w:eastAsiaTheme="majorEastAsia" w:cstheme="majorBidi"/>
      <w:i/>
      <w:iCs/>
      <w:color w:val="404040" w:themeColor="text1" w:themeTint="BF"/>
      <w:sz w:val="20"/>
      <w14:textFill>
        <w14:solidFill>
          <w14:schemeClr w14:val="tx1">
            <w14:lumMod w14:val="75000"/>
            <w14:lumOff w14:val="25000"/>
          </w14:schemeClr>
        </w14:solidFill>
      </w14:textFill>
    </w:rPr>
  </w:style>
  <w:style w:type="character" w:customStyle="1" w:styleId="156">
    <w:name w:val="标题 8 字符"/>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3"/>
    <w:link w:val="158"/>
    <w:qFormat/>
    <w:uiPriority w:val="30"/>
    <w:rPr>
      <w:rFonts w:ascii="Times New Roman" w:hAnsi="Times New Roman"/>
      <w:b/>
      <w:bCs/>
      <w:i/>
      <w:iCs/>
      <w:color w:val="4F81BD" w:themeColor="accent1"/>
      <w:sz w:val="20"/>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Abstract"/>
    <w:qFormat/>
    <w:uiPriority w:val="0"/>
    <w:pPr>
      <w:spacing w:before="20" w:after="120" w:line="264" w:lineRule="auto"/>
      <w:jc w:val="both"/>
    </w:pPr>
    <w:rPr>
      <w:rFonts w:ascii="Linux Libertine" w:hAnsi="Linux Libertine" w:eastAsia="Verdana" w:cstheme="minorBidi"/>
      <w:sz w:val="18"/>
      <w:szCs w:val="22"/>
      <w:lang w:val="en-US" w:eastAsia="en-US" w:bidi="ar-SA"/>
      <w14:ligatures w14:val="standard"/>
    </w:rPr>
  </w:style>
  <w:style w:type="paragraph" w:customStyle="1" w:styleId="167">
    <w:name w:val="Verso_(LRH)"/>
    <w:autoRedefine/>
    <w:qFormat/>
    <w:uiPriority w:val="0"/>
    <w:pPr>
      <w:spacing w:after="0" w:line="240" w:lineRule="auto"/>
    </w:pPr>
    <w:rPr>
      <w:rFonts w:ascii="Linux Libertine" w:hAnsi="Linux Libertine" w:eastAsia="Times New Roman" w:cs="Times New Roman"/>
      <w:sz w:val="14"/>
      <w:szCs w:val="20"/>
      <w:lang w:val="en-US" w:eastAsia="en-US" w:bidi="ar-SA"/>
    </w:rPr>
  </w:style>
  <w:style w:type="paragraph" w:customStyle="1" w:styleId="168">
    <w:name w:val="AbsHead"/>
    <w:basedOn w:val="169"/>
    <w:link w:val="170"/>
    <w:autoRedefine/>
    <w:qFormat/>
    <w:uiPriority w:val="0"/>
    <w:pPr>
      <w:spacing w:before="380"/>
    </w:pPr>
    <w:rPr>
      <w14:ligatures w14:val="standard"/>
    </w:rPr>
  </w:style>
  <w:style w:type="paragraph" w:customStyle="1" w:styleId="169">
    <w:name w:val="Head1"/>
    <w:autoRedefine/>
    <w:qFormat/>
    <w:uiPriority w:val="0"/>
    <w:pPr>
      <w:spacing w:before="220" w:after="80" w:line="240" w:lineRule="auto"/>
      <w:ind w:left="280" w:hanging="280"/>
    </w:pPr>
    <w:rPr>
      <w:rFonts w:ascii="Linux Libertine" w:hAnsi="Linux Libertine" w:eastAsia="Times New Roman" w:cs="Linux Libertine"/>
      <w:b/>
      <w:sz w:val="22"/>
      <w:szCs w:val="20"/>
      <w:lang w:val="en-US" w:eastAsia="en-US" w:bidi="ar-SA"/>
    </w:rPr>
  </w:style>
  <w:style w:type="character" w:customStyle="1" w:styleId="170">
    <w:name w:val="AbsHead Char"/>
    <w:basedOn w:val="133"/>
    <w:link w:val="168"/>
    <w:qFormat/>
    <w:uiPriority w:val="0"/>
    <w:rPr>
      <w:rFonts w:ascii="Linux Libertine" w:hAnsi="Linux Libertine" w:eastAsia="Times New Roman" w:cs="Linux Libertine"/>
      <w:b/>
      <w:szCs w:val="20"/>
      <w14:ligatures w14:val="standard"/>
    </w:rPr>
  </w:style>
  <w:style w:type="paragraph" w:customStyle="1" w:styleId="171">
    <w:name w:val="AuthNotes"/>
    <w:qFormat/>
    <w:uiPriority w:val="0"/>
    <w:pPr>
      <w:spacing w:after="200" w:line="276" w:lineRule="auto"/>
    </w:pPr>
    <w:rPr>
      <w:rFonts w:asciiTheme="minorHAnsi" w:hAnsiTheme="minorHAnsi" w:eastAsiaTheme="minorHAnsi" w:cstheme="minorBidi"/>
      <w:color w:val="4F6228" w:themeColor="accent3" w:themeShade="80"/>
      <w:sz w:val="22"/>
      <w:szCs w:val="22"/>
      <w:lang w:val="en-US" w:eastAsia="en-US" w:bidi="ar-SA"/>
    </w:rPr>
  </w:style>
  <w:style w:type="paragraph" w:customStyle="1" w:styleId="172">
    <w:name w:val="KeyWordHead"/>
    <w:autoRedefine/>
    <w:qFormat/>
    <w:uiPriority w:val="0"/>
    <w:pPr>
      <w:spacing w:before="200" w:after="20" w:line="240" w:lineRule="auto"/>
    </w:pPr>
    <w:rPr>
      <w:rFonts w:ascii="Linux Libertine" w:hAnsi="Linux Libertine" w:cs="Linux Libertine" w:eastAsiaTheme="minorHAnsi"/>
      <w:b/>
      <w:sz w:val="22"/>
      <w:szCs w:val="22"/>
      <w:lang w:val="en-US" w:eastAsia="en-US" w:bidi="ar-SA"/>
    </w:rPr>
  </w:style>
  <w:style w:type="paragraph" w:customStyle="1" w:styleId="173">
    <w:name w:val="KeyWords"/>
    <w:basedOn w:val="1"/>
    <w:qFormat/>
    <w:uiPriority w:val="0"/>
    <w:pPr>
      <w:spacing w:before="60" w:after="60" w:line="264" w:lineRule="auto"/>
    </w:pPr>
    <w:rPr>
      <w:rFonts w:ascii="Linux Libertine" w:hAnsi="Linux Libertine" w:eastAsiaTheme="minorHAnsi"/>
      <w:sz w:val="18"/>
    </w:rPr>
  </w:style>
  <w:style w:type="character" w:customStyle="1" w:styleId="174">
    <w:name w:val="脚注文本 字符"/>
    <w:basedOn w:val="133"/>
    <w:link w:val="28"/>
    <w:qFormat/>
    <w:uiPriority w:val="0"/>
    <w:rPr>
      <w:rFonts w:ascii="Linux Libertine" w:hAnsi="Linux Libertine" w:eastAsiaTheme="minorHAnsi"/>
      <w:sz w:val="14"/>
    </w:rPr>
  </w:style>
  <w:style w:type="paragraph" w:customStyle="1" w:styleId="175">
    <w:name w:val="CCSHead"/>
    <w:basedOn w:val="172"/>
    <w:qFormat/>
    <w:uiPriority w:val="0"/>
    <w:pPr>
      <w:spacing w:before="120" w:after="120"/>
    </w:pPr>
    <w:rPr>
      <w:sz w:val="20"/>
    </w:rPr>
  </w:style>
  <w:style w:type="paragraph" w:customStyle="1" w:styleId="176">
    <w:name w:val="CCSDescription"/>
    <w:basedOn w:val="173"/>
    <w:qFormat/>
    <w:uiPriority w:val="0"/>
  </w:style>
  <w:style w:type="paragraph" w:customStyle="1" w:styleId="177">
    <w:name w:val="PermissionBlock"/>
    <w:basedOn w:val="28"/>
    <w:qFormat/>
    <w:uiPriority w:val="0"/>
  </w:style>
  <w:style w:type="paragraph" w:customStyle="1" w:styleId="178">
    <w:name w:val="Title_document"/>
    <w:autoRedefine/>
    <w:qFormat/>
    <w:uiPriority w:val="0"/>
    <w:pPr>
      <w:spacing w:before="40" w:after="100" w:line="240" w:lineRule="auto"/>
      <w:jc w:val="center"/>
    </w:pPr>
    <w:rPr>
      <w:rFonts w:ascii="Linux Biolinum" w:hAnsi="Linux Biolinum" w:eastAsia="Times New Roman" w:cs="Times New Roman"/>
      <w:b/>
      <w:sz w:val="35"/>
      <w:szCs w:val="20"/>
      <w:lang w:val="en-US" w:eastAsia="en-US" w:bidi="ar-SA"/>
    </w:rPr>
  </w:style>
  <w:style w:type="character" w:customStyle="1" w:styleId="179">
    <w:name w:val="Label"/>
    <w:basedOn w:val="133"/>
    <w:qFormat/>
    <w:uiPriority w:val="1"/>
    <w:rPr>
      <w:rFonts w:ascii="Linux Libertine" w:hAnsi="Linux Libertine"/>
      <w:color w:val="auto"/>
    </w:rPr>
  </w:style>
  <w:style w:type="paragraph" w:customStyle="1" w:styleId="180">
    <w:name w:val="00MAIN TEXT"/>
    <w:basedOn w:val="1"/>
    <w:link w:val="181"/>
    <w:qFormat/>
    <w:uiPriority w:val="0"/>
    <w:pPr>
      <w:spacing w:after="0" w:line="264" w:lineRule="auto"/>
    </w:pPr>
    <w:rPr>
      <w:rFonts w:ascii="Linux Libertine" w:hAnsi="Linux Libertine" w:eastAsiaTheme="minorHAnsi"/>
      <w:sz w:val="18"/>
    </w:rPr>
  </w:style>
  <w:style w:type="character" w:customStyle="1" w:styleId="181">
    <w:name w:val="00MAIN TEXT 字符"/>
    <w:basedOn w:val="133"/>
    <w:link w:val="180"/>
    <w:qFormat/>
    <w:uiPriority w:val="0"/>
    <w:rPr>
      <w:rFonts w:ascii="Linux Libertine" w:hAnsi="Linux Libertine" w:eastAsiaTheme="minorHAnsi"/>
      <w:sz w:val="18"/>
    </w:rPr>
  </w:style>
  <w:style w:type="paragraph" w:customStyle="1" w:styleId="182">
    <w:name w:val="Head2"/>
    <w:autoRedefine/>
    <w:qFormat/>
    <w:uiPriority w:val="0"/>
    <w:pPr>
      <w:spacing w:before="180" w:after="80" w:line="240" w:lineRule="auto"/>
      <w:ind w:left="400" w:hanging="400"/>
    </w:pPr>
    <w:rPr>
      <w:rFonts w:ascii="Linux Libertine" w:hAnsi="Linux Libertine" w:eastAsia="宋体" w:cs="Linux Libertine"/>
      <w:b/>
      <w:sz w:val="22"/>
      <w:szCs w:val="20"/>
      <w:lang w:val="en-US" w:eastAsia="zh-CN" w:bidi="ar-SA"/>
      <w14:ligatures w14:val="standard"/>
    </w:rPr>
  </w:style>
  <w:style w:type="paragraph" w:customStyle="1" w:styleId="183">
    <w:name w:val="RefEntry"/>
    <w:qFormat/>
    <w:uiPriority w:val="0"/>
    <w:pPr>
      <w:spacing w:after="20" w:line="240" w:lineRule="auto"/>
    </w:pPr>
    <w:rPr>
      <w:rFonts w:ascii="Times New Roman" w:hAnsi="Times New Roman" w:eastAsiaTheme="minorEastAsia" w:cstheme="minorBidi"/>
      <w:sz w:val="17"/>
      <w:szCs w:val="22"/>
      <w:lang w:val="en-US" w:eastAsia="en-US" w:bidi="ar-SA"/>
    </w:rPr>
  </w:style>
  <w:style w:type="paragraph" w:customStyle="1" w:styleId="184">
    <w:name w:val="FigureCaption"/>
    <w:link w:val="185"/>
    <w:autoRedefine/>
    <w:qFormat/>
    <w:uiPriority w:val="0"/>
    <w:pPr>
      <w:spacing w:before="220" w:after="240" w:line="240" w:lineRule="auto"/>
      <w:jc w:val="both"/>
    </w:pPr>
    <w:rPr>
      <w:rFonts w:ascii="Linux Libertine" w:hAnsi="Linux Libertine" w:eastAsia="宋体" w:cs="Linux Libertine"/>
      <w:b/>
      <w:sz w:val="18"/>
      <w:szCs w:val="22"/>
      <w:lang w:val="en-US" w:eastAsia="zh-CN" w:bidi="ar-SA"/>
      <w14:ligatures w14:val="standard"/>
    </w:rPr>
  </w:style>
  <w:style w:type="character" w:customStyle="1" w:styleId="185">
    <w:name w:val="FigureCaption Char"/>
    <w:basedOn w:val="133"/>
    <w:link w:val="184"/>
    <w:qFormat/>
    <w:uiPriority w:val="0"/>
    <w:rPr>
      <w:rFonts w:ascii="Linux Libertine" w:hAnsi="Linux Libertine" w:eastAsia="宋体" w:cs="Linux Libertine"/>
      <w:b/>
      <w:sz w:val="18"/>
      <w:lang w:eastAsia="zh-CN"/>
      <w14:ligatures w14:val="standard"/>
    </w:rPr>
  </w:style>
  <w:style w:type="character" w:customStyle="1" w:styleId="186">
    <w:name w:val="Unresolved Mention"/>
    <w:basedOn w:val="133"/>
    <w:semiHidden/>
    <w:unhideWhenUsed/>
    <w:qFormat/>
    <w:uiPriority w:val="99"/>
    <w:rPr>
      <w:color w:val="605E5C"/>
      <w:shd w:val="clear" w:color="auto" w:fill="E1DFDD"/>
    </w:rPr>
  </w:style>
  <w:style w:type="character" w:styleId="187">
    <w:name w:val="Placeholder Text"/>
    <w:basedOn w:val="133"/>
    <w:semiHidden/>
    <w:qFormat/>
    <w:uiPriority w:val="99"/>
    <w:rPr>
      <w:color w:val="666666"/>
    </w:rPr>
  </w:style>
  <w:style w:type="character" w:customStyle="1" w:styleId="188">
    <w:name w:val="不明显强调1"/>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89">
    <w:name w:val="明显强调1"/>
    <w:basedOn w:val="133"/>
    <w:qFormat/>
    <w:uiPriority w:val="21"/>
    <w:rPr>
      <w:b/>
      <w:bCs/>
      <w:i/>
      <w:iCs/>
      <w:color w:val="4F81BD" w:themeColor="accent1"/>
      <w14:textFill>
        <w14:solidFill>
          <w14:schemeClr w14:val="accent1"/>
        </w14:solidFill>
      </w14:textFill>
    </w:rPr>
  </w:style>
  <w:style w:type="character" w:customStyle="1" w:styleId="190">
    <w:name w:val="不明显参考1"/>
    <w:basedOn w:val="133"/>
    <w:qFormat/>
    <w:uiPriority w:val="31"/>
    <w:rPr>
      <w:smallCaps/>
      <w:color w:val="C0504D" w:themeColor="accent2"/>
      <w:u w:val="single"/>
      <w14:textFill>
        <w14:solidFill>
          <w14:schemeClr w14:val="accent2"/>
        </w14:solidFill>
      </w14:textFill>
    </w:rPr>
  </w:style>
  <w:style w:type="character" w:customStyle="1" w:styleId="191">
    <w:name w:val="明显参考1"/>
    <w:basedOn w:val="133"/>
    <w:qFormat/>
    <w:uiPriority w:val="32"/>
    <w:rPr>
      <w:b/>
      <w:bCs/>
      <w:smallCaps/>
      <w:color w:val="C0504D" w:themeColor="accent2"/>
      <w:spacing w:val="5"/>
      <w:u w:val="single"/>
      <w14:textFill>
        <w14:solidFill>
          <w14:schemeClr w14:val="accent2"/>
        </w14:solidFill>
      </w14:textFill>
    </w:rPr>
  </w:style>
  <w:style w:type="character" w:customStyle="1" w:styleId="192">
    <w:name w:val="书籍标题1"/>
    <w:basedOn w:val="133"/>
    <w:qFormat/>
    <w:uiPriority w:val="33"/>
    <w:rPr>
      <w:b/>
      <w:bCs/>
      <w:smallCaps/>
      <w:spacing w:val="5"/>
    </w:rPr>
  </w:style>
  <w:style w:type="paragraph" w:customStyle="1" w:styleId="193">
    <w:name w:val="TOC 标题1"/>
    <w:basedOn w:val="3"/>
    <w:next w:val="1"/>
    <w:semiHidden/>
    <w:unhideWhenUsed/>
    <w:qFormat/>
    <w:uiPriority w:val="39"/>
    <w:pPr>
      <w:outlineLvl w:val="9"/>
    </w:pPr>
  </w:style>
  <w:style w:type="paragraph" w:customStyle="1" w:styleId="194">
    <w:name w:val="Revision"/>
    <w:hidden/>
    <w:semiHidden/>
    <w:uiPriority w:val="99"/>
    <w:pPr>
      <w:spacing w:after="0" w:line="240" w:lineRule="auto"/>
    </w:pPr>
    <w:rPr>
      <w:rFonts w:ascii="Times New Roman" w:hAnsi="Times New Roman" w:eastAsiaTheme="minorEastAsia" w:cstheme="minorBidi"/>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emf"/><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9443</Words>
  <Characters>59194</Characters>
  <Lines>917</Lines>
  <Paragraphs>299</Paragraphs>
  <TotalTime>331</TotalTime>
  <ScaleCrop>false</ScaleCrop>
  <LinksUpToDate>false</LinksUpToDate>
  <CharactersWithSpaces>68017</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2026-04-24T21:39:00Z</dcterms:created>
  <dc:creator>Fei Peng</dc:creator>
  <dc:description>generated by python-docx</dc:description>
  <cp:lastModifiedBy>H晗H</cp:lastModifiedBy>
  <dcterms:modified xsi:type="dcterms:W3CDTF">2026-04-26T02:49:09Z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72FEBC81CF3B41E69B8E5720DC723203_13</vt:lpwstr>
  </property>
</Properties>
</file>