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Times New Roman" w:hAnsi="Times New Roman"/>
          <w:b/>
          <w:i w:val="0"/>
          <w:sz w:val="36"/>
        </w:rPr>
        <w:t>APPENDIX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sz w:val="24"/>
        </w:rPr>
        <w:t>A.1 Data and Code Availability</w:t>
      </w:r>
    </w:p>
    <w:p>
      <w:pPr>
        <w:spacing w:before="0" w:after="60"/>
      </w:pPr>
      <w:r>
        <w:rPr>
          <w:rFonts w:ascii="Times New Roman" w:hAnsi="Times New Roman"/>
          <w:b/>
          <w:i w:val="0"/>
          <w:sz w:val="18"/>
        </w:rPr>
        <w:t xml:space="preserve">Code. 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The complete VeritasCarbon framework, evaluation scripts, and reproducibility instructions are available at https://github.com/YihanJIANG-lab/VeritasCarbon-VLDB2027 under the MIT License.</w:t>
      </w:r>
    </w:p>
    <w:p>
      <w:pPr>
        <w:spacing w:before="0" w:after="60"/>
      </w:pPr>
      <w:r>
        <w:rPr>
          <w:rFonts w:ascii="Times New Roman" w:hAnsi="Times New Roman"/>
          <w:b/>
          <w:i w:val="0"/>
          <w:sz w:val="18"/>
        </w:rPr>
        <w:t xml:space="preserve">Sample Data. 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A representative 2,000-pair sample (8.7 MB) is included in the GitHub repository. It is drawn with random.seed(42) from the full 35,009-pair pool and matches the evaluation protocol used in Table 2.</w:t>
      </w:r>
    </w:p>
    <w:p>
      <w:pPr>
        <w:spacing w:before="0" w:after="60"/>
      </w:pPr>
      <w:r>
        <w:rPr>
          <w:rFonts w:ascii="Times New Roman" w:hAnsi="Times New Roman"/>
          <w:b/>
          <w:i w:val="0"/>
          <w:sz w:val="18"/>
        </w:rPr>
        <w:t xml:space="preserve">Full Dataset. 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The complete VeritasCarbon-ESG-35K dataset (35,009 pairs, ~153 MB) is hosted on Hugging Face Datasets. It can be loaded in one line: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from datasets import load_dataset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ds = load_dataset("Yihan-JIANG/VeritasCarbon-ESG-35K", split="train")</w:t>
      </w:r>
    </w:p>
    <w:p>
      <w:pPr>
        <w:spacing w:after="40"/>
      </w:pPr>
    </w:p>
    <w:p>
      <w:pPr>
        <w:spacing w:before="0" w:after="60"/>
      </w:pPr>
      <w:r>
        <w:rPr>
          <w:rFonts w:ascii="Times New Roman" w:hAnsi="Times New Roman"/>
          <w:b/>
          <w:i w:val="0"/>
          <w:sz w:val="18"/>
        </w:rPr>
        <w:t xml:space="preserve">Raw Corpus. 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The source ESG documents (~2.7 GB, 17,721 files) contain copyrighted material and cannot be redistributed in full. Complete provenance metadata is provided in data/raw_corpus/CORPUS_MANIFEST.md.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sz w:val="24"/>
        </w:rPr>
        <w:t>A.2 Reproducibility Checklist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Table 1 provides a 30-minute verification checklist. All commands run on CPU; no GPU is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Claim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Verification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Expected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Time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Table 2: ROUGE-L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cat intrinsic_comparison.json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0.3380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30s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Table 2: BLEU-4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same file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0.1932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---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Table 2: Domain Rel.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same file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0.3637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---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Table 2: FactCheck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same file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0.9478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---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Table 3: Ablation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cat table3_ablation.tex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12 values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30s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Fig 5: Quality dist.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generate_paper_results.py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PDF/PNG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2min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Dataset: 35,009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table2_qa_statistics.json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35009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10s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Provenance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Inspect sample jsonl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source_chunk_id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1min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Eval pipeline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intrinsic_evaluation_03_03.py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metrics JSON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10min</w:t>
            </w:r>
          </w:p>
        </w:tc>
      </w:tr>
    </w:tbl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Notes. (1) Tracks A-B require only the GitHub repo. (2) Track C requires the raw corpus and an A100 GPU. (3) All random sampling uses random.seed(42).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sz w:val="24"/>
        </w:rPr>
        <w:t>A.3 Prompt Templates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CoDE employs 11 specialized expert agents plus a MetaExpert. Each expert receives a system prompt defining its persona, task, and output format. All prompts support Default mode (generate from chunk) and Dynamic mode (receive work instruction from MetaExpert). The dynamic mode prepends a work instruction; the remainder is identical.</w:t>
      </w:r>
    </w:p>
    <w:p>
      <w:pPr>
        <w:keepNext/>
        <w:spacing w:before="120" w:after="80"/>
      </w:pPr>
      <w:r>
        <w:rPr>
          <w:rFonts w:ascii="Times New Roman" w:hAnsi="Times New Roman"/>
          <w:b/>
          <w:i w:val="0"/>
          <w:sz w:val="20"/>
        </w:rPr>
        <w:t>A.3.1 Q&amp;A Expert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You are a senior ESG Q&amp;A generation expert.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Task: Generate one high-quality Q&amp;A pair from the text.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Requirements: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1. Question highly relevant to text.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2. Answer findable in text or reasonably inferred.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3. Question covers ESG dimension and leads to carbon assessment.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4. Specific and clear.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5. Accurate and complete.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{knowledge_context}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Text: {chunk_text}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Output format: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Question: [question]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Answer: [answer]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Output only the Q&amp;A pair.</w:t>
      </w:r>
    </w:p>
    <w:p>
      <w:pPr>
        <w:spacing w:after="40"/>
      </w:pPr>
    </w:p>
    <w:p>
      <w:pPr>
        <w:keepNext/>
        <w:spacing w:before="120" w:after="80"/>
      </w:pPr>
      <w:r>
        <w:rPr>
          <w:rFonts w:ascii="Times New Roman" w:hAnsi="Times New Roman"/>
          <w:b/>
          <w:i w:val="0"/>
          <w:sz w:val="20"/>
        </w:rPr>
        <w:t>A.3.2 Analysis Expert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You are a senior ESG analysis expert.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Task: Generate one analysis task from the text.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Requirements: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1. Instruction asks to analyze ESG content (comparison, trend, impact).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2. Answer contains in-depth analysis and cross-domain reasoning.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3. Be critical; assess credibility of carbon commitments.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{knowledge_context}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Text: {chunk_text}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Output format: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Instruction: [instruction]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Analysis result: [analysis]</w:t>
      </w:r>
    </w:p>
    <w:p>
      <w:pPr>
        <w:spacing w:after="40"/>
      </w:pPr>
    </w:p>
    <w:p>
      <w:pPr>
        <w:keepNext/>
        <w:spacing w:before="120" w:after="80"/>
      </w:pPr>
      <w:r>
        <w:rPr>
          <w:rFonts w:ascii="Times New Roman" w:hAnsi="Times New Roman"/>
          <w:b/>
          <w:i w:val="0"/>
          <w:sz w:val="20"/>
        </w:rPr>
        <w:t>A.3.3 Greenwashing Detection Expert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You are a senior ESG greenwashing detection expert.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Task: Generate a greenwashing detection task from the text.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Requirements: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1. Identify greenwashing patterns.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2. Quantify risk (0-1).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3. Provide evidence chain.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Common patterns: vague commitments, selective disclosure,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exaggerated impact, time mismatch, scope confusion,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inconsistency, lack of verification.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{knowledge_context}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Text: {chunk_text}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Output format: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Instruction: [detection instruction]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Answer: [matched patterns, risk level, evidence]</w:t>
      </w:r>
    </w:p>
    <w:p>
      <w:pPr>
        <w:spacing w:after="40"/>
      </w:pPr>
    </w:p>
    <w:p>
      <w:pPr>
        <w:keepNext/>
        <w:spacing w:before="120" w:after="80"/>
      </w:pPr>
      <w:r>
        <w:rPr>
          <w:rFonts w:ascii="Times New Roman" w:hAnsi="Times New Roman"/>
          <w:b/>
          <w:i w:val="0"/>
          <w:sz w:val="20"/>
        </w:rPr>
        <w:t>A.3.4 Consistency Verification Expert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You are a senior ESG consistency verification expert.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Task: Generate a consistency verification task.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Requirements: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1. Check data consistency across the text.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2. Identify contradictions.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3. Detect missing-data patterns.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{knowledge_context}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Text: {chunk_text}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Output format: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Instruction: [verification instruction]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Answer: [consistency assessment, contradictions]</w:t>
      </w:r>
    </w:p>
    <w:p>
      <w:pPr>
        <w:spacing w:after="40"/>
      </w:pPr>
    </w:p>
    <w:p>
      <w:pPr>
        <w:keepNext/>
        <w:spacing w:before="120" w:after="80"/>
      </w:pPr>
      <w:r>
        <w:rPr>
          <w:rFonts w:ascii="Times New Roman" w:hAnsi="Times New Roman"/>
          <w:b/>
          <w:i w:val="0"/>
          <w:sz w:val="20"/>
        </w:rPr>
        <w:t>A.3.5 Summary of All 11 Experts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Table 2 summarizes each expert. All share the same prompt structure; only task description and output labels differ.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Expert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Core Task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Output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Q&amp;A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Generate question-answer pair grounded in text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Q / A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Summary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Summarization (100-200 words) highlighting ESG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Instr / Summary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Extraction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Extract structured ESG information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Instr / Extraction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Classification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Classify by ESG dimension (E/S/G/Mixed)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Instr / Classification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Analysis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In-depth cross-domain critical assessment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Instr / Analysis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Temporal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Multi-year trends and commitment consistency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Instr / Answer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Benchmark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Compare against industry averages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Instr / Answer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Greenwashing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Identify misleading claims, quantify risk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Instr / Answer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Standard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Identify standards (GRI, TCFD, SASB) and gaps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Instr / Answer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Knowledge Graph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Extract entities/relations; detect broken links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Instr / Answer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Consistency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Detect data contradictions and selective disclosure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Instr / Answer</w:t>
            </w:r>
          </w:p>
        </w:tc>
      </w:tr>
    </w:tbl>
    <w:p>
      <w:pPr>
        <w:keepNext/>
        <w:spacing w:before="120" w:after="80"/>
      </w:pPr>
      <w:r>
        <w:rPr>
          <w:rFonts w:ascii="Times New Roman" w:hAnsi="Times New Roman"/>
          <w:b/>
          <w:i w:val="0"/>
          <w:sz w:val="20"/>
        </w:rPr>
        <w:t>A.3.6 MetaExpert Orchestrator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# Role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You are a top carbon-strategy analyst.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Design one work instruction for a subordinate analyst.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# Context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- Subordinate: {expert_type} ({expert_desc})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- Section: {section_name}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- Core topics: {topics_str}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- Preview: {chunk_text[:500]}...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- Collaboration: experts={all_experts}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 xml:space="preserve">  Current={expert_type}; Others={other_experts}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# Task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Instruction must: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1. Carbon-centric: assess carbon performance or commitment credibility.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2. Cross-domain: use chunk info as evidence for carbon strategy.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3. Depth: compare, evaluate, predict, or critique--not just extract.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# Output</w:t>
      </w:r>
    </w:p>
    <w:p>
      <w:pPr>
        <w:spacing w:after="0" w:before="0"/>
        <w:ind w:left="144"/>
      </w:pPr>
      <w:r>
        <w:rPr>
          <w:rFonts w:ascii="Courier New" w:hAnsi="Courier New"/>
          <w:color w:val="333333"/>
          <w:sz w:val="14"/>
        </w:rPr>
        <w:t>Work instruction:</w:t>
      </w:r>
    </w:p>
    <w:p>
      <w:pPr>
        <w:spacing w:after="40"/>
      </w:pP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Feedback round. The MetaExpert scores correctness (0.4), completeness (0.3), relevance (0.2), and structure (0.1). If any dimension falls below threshold, a refined instruction is generated and the expert re-executes, up to R=2 rounds.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sz w:val="24"/>
        </w:rPr>
        <w:t>A.4 Hyperparameters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Table 3 lists all fixed hyperparameters. All random sampling uses random.seed(42).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Parameter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Value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Source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Base model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Qwen2-72B-Instruct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config.yaml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Quantization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4-bit (NF4)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Unsloth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Temperature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0.7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coe_framework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Max tokens (instr)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512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---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Max tokens (resp)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1,024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---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Chunk size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2,000 chars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text_chunker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Chunk overlap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200 chars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text_chunker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Expert threshold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expert_selector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Collaboration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parallel / sequential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coe_framework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Feedback rounds (R)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meta_expert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Quality threshold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0.6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meta_expert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Knowledge items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up to 5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domain_knowledge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Eval sample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2,000 pairs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intrinsic_eval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Random seed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42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All steps</w:t>
            </w:r>
          </w:p>
        </w:tc>
      </w:tr>
    </w:tbl>
    <w:p>
      <w:pPr>
        <w:keepNext/>
        <w:spacing w:before="200" w:after="80"/>
      </w:pPr>
      <w:r>
        <w:rPr>
          <w:rFonts w:ascii="Times New Roman" w:hAnsi="Times New Roman"/>
          <w:b/>
          <w:i w:val="0"/>
          <w:sz w:val="24"/>
        </w:rPr>
        <w:t>A.5 Expert Selection Logic</w:t>
      </w:r>
    </w:p>
    <w:p>
      <w:pPr>
        <w:pStyle w:val="ListNumber"/>
        <w:spacing w:after="40"/>
        <w:ind w:left="216"/>
      </w:pPr>
      <w:r>
        <w:rPr>
          <w:rFonts w:ascii="Times New Roman" w:hAnsi="Times New Roman"/>
          <w:b w:val="0"/>
          <w:i w:val="0"/>
          <w:sz w:val="18"/>
        </w:rPr>
        <w:t>Feature extraction. The chunk is analyzed for: keyword presence (carbon, emission, energy, employee, training, governance); numerical data density; temporal markers (years, quarters); standard references (GRI, TCFD, SASB, ISO 14001, CDP); comparative language; entity types (company names, plant locations).</w:t>
      </w:r>
    </w:p>
    <w:p>
      <w:pPr>
        <w:pStyle w:val="ListNumber"/>
        <w:spacing w:after="40"/>
        <w:ind w:left="216"/>
      </w:pPr>
      <w:r>
        <w:rPr>
          <w:rFonts w:ascii="Times New Roman" w:hAnsi="Times New Roman"/>
          <w:b w:val="0"/>
          <w:i w:val="0"/>
          <w:sz w:val="18"/>
        </w:rPr>
        <w:t>Expert scoring. Each expert defines s_i(chunk) in [0,1]. Examples: TemporalAnalysisExpert gets high score if temporal markers &gt;= 2 and numerical trends present; GreenwashingDetectionExpert gets high score if vague-commitment keywords + selective-disclosure patterns detected; KnowledgeGraphExpert gets high score if entity count &gt;= 5 and relation verbs present.</w:t>
      </w:r>
    </w:p>
    <w:p>
      <w:pPr>
        <w:pStyle w:val="ListNumber"/>
        <w:spacing w:after="40"/>
        <w:ind w:left="216"/>
      </w:pPr>
      <w:r>
        <w:rPr>
          <w:rFonts w:ascii="Times New Roman" w:hAnsi="Times New Roman"/>
          <w:b w:val="0"/>
          <w:i w:val="0"/>
          <w:sz w:val="18"/>
        </w:rPr>
        <w:t>Thresholding. Experts with s_i &gt;= 0.5 are selected. If none meet threshold, QAExpert is fallback.</w:t>
      </w:r>
    </w:p>
    <w:p>
      <w:pPr>
        <w:pStyle w:val="ListNumber"/>
        <w:spacing w:after="40"/>
        <w:ind w:left="216"/>
      </w:pPr>
      <w:r>
        <w:rPr>
          <w:rFonts w:ascii="Times New Roman" w:hAnsi="Times New Roman"/>
          <w:b w:val="0"/>
          <w:i w:val="0"/>
          <w:sz w:val="18"/>
        </w:rPr>
        <w:t>Collaboration mode. If |{s_i &gt;= 0.5}| &gt;= 2, parallel is used; otherwise sequential.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MetaExpert override. After selection, the MetaExpert may dynamically adjust assignment based on core topics. This override is rare (&lt;5%) and logged in metadata.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sz w:val="24"/>
        </w:rPr>
        <w:t>A.6 Error Analysis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Representative examples from the 2,000-pair sample. Quality score = correctness(0.4) + completeness(0.3) + relevance(0.2) + structure(0.1).</w:t>
      </w:r>
    </w:p>
    <w:p>
      <w:pPr>
        <w:keepNext/>
        <w:spacing w:before="120" w:after="80"/>
      </w:pPr>
      <w:r>
        <w:rPr>
          <w:rFonts w:ascii="Times New Roman" w:hAnsi="Times New Roman"/>
          <w:b/>
          <w:i w:val="0"/>
          <w:sz w:val="20"/>
        </w:rPr>
        <w:t>A.6.1 High-Quality Example (Score 0.915)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Experts: Summary + Consistency Verification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Instruction: Generate a summary about 2024-2025 A-share ESG fund issuance trends, disclosure quality, carbon-risk considerations, emission management progress, evaluation-system effectiveness, and green-transformation potential.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Answer: Since 2024, A-share ESG public fund issuance reached ~216 billion yuan. Although issuance pace slowed, 18 new funds were issued from Q4 to Q3. The industry scale rebounded against the trend, showing a structural shift from quantity expansion to quality improvement. Under policy and market dual-wheel drive, China's ESG market is gradually maturing, with carbon-risk considerations becoming an important investment factor.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Why high: The instruction demands multi-faceted synthesis, and the answer integrates quantitative evidence (216B yuan, 18 funds) with qualitative assessment. Consistency Verification cross-checks fund-scale figures.</w:t>
      </w:r>
    </w:p>
    <w:p>
      <w:pPr>
        <w:keepNext/>
        <w:spacing w:before="120" w:after="80"/>
      </w:pPr>
      <w:r>
        <w:rPr>
          <w:rFonts w:ascii="Times New Roman" w:hAnsi="Times New Roman"/>
          <w:b/>
          <w:i w:val="0"/>
          <w:sz w:val="20"/>
        </w:rPr>
        <w:t>A.6.2 Low-Quality Example (Score 0.000)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Experts: Summary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Instruction: Generate a summary for the following text.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Answer: This article aims to analyze how ESG information disclosure affects employees' green innovation efficiency and its role in promoting real carbon-reduction commitments. Special attention is paid to identifying and criticizing potential greenwashing behavior...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Why low: The output is a generic abstract rather than a task-oriented instruction-response pair. The instruction is merely generate a summary, and the answer restates the paper's purpose without concrete data. This occurs when the MetaExpert's work instruction is too vague and no second expert refines depth.</w:t>
      </w:r>
    </w:p>
    <w:p>
      <w:pPr>
        <w:keepNext/>
        <w:spacing w:before="120" w:after="80"/>
      </w:pPr>
      <w:r>
        <w:rPr>
          <w:rFonts w:ascii="Times New Roman" w:hAnsi="Times New Roman"/>
          <w:b/>
          <w:i w:val="0"/>
          <w:sz w:val="20"/>
        </w:rPr>
        <w:t>A.6.3 Key Failure Patterns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Table 4 summarizes common failure modes in bottom-decile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Pattern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Description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Typical Cause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Generic summary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Answer restates source abstract without specificity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Single Summary Expert, no dynamic instruction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Vague instruction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Broad request (analyze ESG)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MetaExpert topics too generic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Missing evidence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Claims lack concrete numbers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No Extraction/Benchmark Expert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Self-reference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Answer refers to this article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Expert fails to rephrase</w:t>
            </w:r>
          </w:p>
        </w:tc>
      </w:tr>
    </w:tbl>
    <w:p>
      <w:pPr>
        <w:keepNext/>
        <w:spacing w:before="200" w:after="80"/>
      </w:pPr>
      <w:r>
        <w:rPr>
          <w:rFonts w:ascii="Times New Roman" w:hAnsi="Times New Roman"/>
          <w:b/>
          <w:i w:val="0"/>
          <w:sz w:val="24"/>
        </w:rPr>
        <w:t>A.7 Dataset Schema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Each record is a JSON object with the following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Field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Type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Description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instruction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string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Generated task instruction (avg 106.5 chars)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input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string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Source chunk text (up to ~2,000 chars)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output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string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Generated response (avg 380.4 chars)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source_chunk_id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string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Unique chunk identifier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metadata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object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Generation provenance and quality metadata</w:t>
            </w:r>
          </w:p>
        </w:tc>
      </w:tr>
    </w:tbl>
    <w:p>
      <w:pPr>
        <w:keepNext/>
        <w:spacing w:before="120" w:after="80"/>
      </w:pPr>
      <w:r>
        <w:rPr>
          <w:rFonts w:ascii="Times New Roman" w:hAnsi="Times New Roman"/>
          <w:b/>
          <w:i w:val="0"/>
          <w:sz w:val="20"/>
        </w:rPr>
        <w:t>Metadata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Field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Type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Description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quality_score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float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Composite score [0,1] (mean 0.667)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selected_experts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list[str]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IDs of invoked agents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expert_names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string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Human-readable names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selection_reasons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object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Feature scores triggering selection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use_meta_expert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bool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Whether MetaExpert was used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dynamic_instructions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string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MetaExpert-generated work instruction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knowledge_items_count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int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Injected knowledge items (0-5)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collaboration_mode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string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parallel or sequential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max_iterations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int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Feedback rounds (0-2)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model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string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Qwen2-72B-Instruct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framework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string</w:t>
            </w:r>
          </w:p>
        </w:tc>
        <w:tc>
          <w:tcPr>
            <w:tcW w:type="dxa" w:w="336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CoDE</w:t>
            </w:r>
          </w:p>
        </w:tc>
      </w:tr>
    </w:tbl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Quality composition: Correctness(0.4) + Completeness(0.3) + Relevance(0.2) + Structure(0.1). Score &lt; 0.6 triggers feedback; still failing after R=2 rounds leads to discard.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sz w:val="24"/>
        </w:rPr>
        <w:t>A.8 Latency and Cost Breakdown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Table 5 reports end-to-end latency on a single NVIDIA A100 (80 GB) with Qwen2-72B-Instruct 4-bit quantized via Unsloth. Batch size =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Stage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Time/Rec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Total(35K)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14"/>
              </w:rPr>
              <w:t>%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Doc parsing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---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~2 hrs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4%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Chunking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---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~30 min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1%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Expert selection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0.02s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~12 min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&lt;1%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Knowledge retrieval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0.15s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~88 min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3%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Parallel generation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2.8s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~27 hrs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58%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MetaExpert feedback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1.9s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~18 hrs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38%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Quality scoring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0.05s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~29 min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1%</w:t>
            </w:r>
          </w:p>
        </w:tc>
      </w:tr>
      <w:tr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Total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~4.9s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~46 hrs</w:t>
            </w:r>
          </w:p>
        </w:tc>
        <w:tc>
          <w:tcPr>
            <w:tcW w:type="dxa" w:w="2520"/>
            <w:tcBorders>
              <w:top w:val="single" w:sz="4" w:space="0" w:color="000000"/>
              <w:bottom w:val="single" w:sz="4" w:space="0" w:color="000000"/>
              <w:left w:val="nil"/>
              <w:right w:val="nil"/>
            </w:tcBorders>
          </w:tcPr>
          <w:p>
            <w:r>
              <w:rPr>
                <w:rFonts w:ascii="Times New Roman" w:hAnsi="Times New Roman"/>
                <w:sz w:val="14"/>
              </w:rPr>
              <w:t>100%</w:t>
            </w:r>
          </w:p>
        </w:tc>
      </w:tr>
    </w:tbl>
    <w:p>
      <w:pPr>
        <w:spacing w:before="0" w:after="60"/>
      </w:pPr>
      <w:r>
        <w:rPr>
          <w:rFonts w:ascii="Times New Roman" w:hAnsi="Times New Roman"/>
          <w:b w:val="0"/>
          <w:i w:val="0"/>
          <w:sz w:val="18"/>
        </w:rPr>
        <w:t>Notes. (1) Parsing and chunking are CPU-bound. (2) Generation and feedback are GPU-bound and dominate. (3) With 4 A100 GPUs in parallel, wall-clock time drops to ~12 hours.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440" w:left="1080" w:header="720" w:footer="720" w:gutter="0"/>
      <w:cols w:space="3048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