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B3AB" w14:textId="2CD004E7" w:rsidR="00271940" w:rsidRPr="005E595A" w:rsidRDefault="00271940" w:rsidP="00271940">
      <w:pPr>
        <w:rPr>
          <w:rFonts w:ascii="Times New Roman" w:hAnsi="Times New Roman" w:cs="Times New Roman"/>
          <w:i/>
          <w:iCs/>
          <w:kern w:val="0"/>
          <w:sz w:val="34"/>
          <w:szCs w:val="24"/>
          <w:lang w:val="en-GB"/>
        </w:rPr>
      </w:pPr>
      <w:r w:rsidRPr="005E595A">
        <w:rPr>
          <w:rFonts w:ascii="Times New Roman" w:hAnsi="Times New Roman" w:cs="Times New Roman"/>
          <w:i/>
          <w:iCs/>
          <w:kern w:val="0"/>
          <w:sz w:val="34"/>
          <w:szCs w:val="24"/>
          <w:lang w:val="en-GB"/>
        </w:rPr>
        <w:t>Supplement of</w:t>
      </w:r>
    </w:p>
    <w:p w14:paraId="63933232" w14:textId="690FAA40" w:rsidR="00AA5888" w:rsidRPr="005E595A" w:rsidRDefault="002875F0" w:rsidP="00AA5888">
      <w:pPr>
        <w:pStyle w:val="2"/>
        <w:jc w:val="both"/>
        <w:rPr>
          <w:rFonts w:ascii="Times New Roman" w:hAnsi="Times New Roman" w:cs="Times New Roman"/>
          <w:lang w:val="en-GB"/>
        </w:rPr>
      </w:pPr>
      <w:bookmarkStart w:id="0" w:name="_Hlk139551983"/>
      <w:bookmarkStart w:id="1" w:name="_Hlk138438958"/>
      <w:r w:rsidRPr="005E595A">
        <w:rPr>
          <w:rFonts w:ascii="Times New Roman" w:hAnsi="Times New Roman" w:cs="Times New Roman"/>
        </w:rPr>
        <w:t>Improved global estimation of seasonal variations in C3 photosynthetic capacity based on eco-evolutionary optimality hypotheses and</w:t>
      </w:r>
      <w:r w:rsidRPr="005E595A">
        <w:rPr>
          <w:rFonts w:ascii="Times New Roman" w:hAnsi="Times New Roman" w:cs="Times New Roman"/>
          <w:lang w:val="en-GB"/>
        </w:rPr>
        <w:t xml:space="preserve"> remote sensing</w:t>
      </w:r>
      <w:bookmarkEnd w:id="0"/>
    </w:p>
    <w:p w14:paraId="0FACF67E" w14:textId="7C3049FC" w:rsidR="00BD0433" w:rsidRPr="005E595A" w:rsidRDefault="00BD0433" w:rsidP="00BD0433">
      <w:pPr>
        <w:spacing w:line="480" w:lineRule="auto"/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</w:pP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Yihong Liu </w:t>
      </w:r>
      <w:r w:rsidRPr="005E595A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 w:eastAsia="de-DE"/>
        </w:rPr>
        <w:t>a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, Jing M. Chen </w:t>
      </w:r>
      <w:r w:rsidRPr="005E595A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 w:eastAsia="de-DE"/>
        </w:rPr>
        <w:t>a, b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</w:t>
      </w:r>
      <w:r w:rsidRPr="005E595A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 w:eastAsia="de-DE"/>
        </w:rPr>
        <w:t>*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, Mingzhu Xu </w:t>
      </w:r>
      <w:r w:rsidRPr="005E595A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 w:eastAsia="de-DE"/>
        </w:rPr>
        <w:t>b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, Rong Wang </w:t>
      </w:r>
      <w:r w:rsidRPr="005E595A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 w:eastAsia="de-DE"/>
        </w:rPr>
        <w:t>b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, Weiliang Fan </w:t>
      </w:r>
      <w:r w:rsidRPr="005E595A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 w:eastAsia="de-DE"/>
        </w:rPr>
        <w:t>c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, Wenyu Li </w:t>
      </w:r>
      <w:r w:rsidRPr="005E595A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 w:eastAsia="de-DE"/>
        </w:rPr>
        <w:t>a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, Lucas Kammer </w:t>
      </w:r>
      <w:r w:rsidRPr="005E595A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 w:eastAsia="de-DE"/>
        </w:rPr>
        <w:t>a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, </w:t>
      </w:r>
      <w:r w:rsidRPr="005E595A">
        <w:rPr>
          <w:rFonts w:ascii="Times New Roman" w:hAnsi="Times New Roman" w:cs="Times New Roman"/>
          <w:kern w:val="24"/>
          <w:sz w:val="20"/>
          <w:szCs w:val="20"/>
        </w:rPr>
        <w:t xml:space="preserve">Collin Prentice </w:t>
      </w:r>
      <w:r w:rsidRPr="005E595A">
        <w:rPr>
          <w:rFonts w:ascii="Times New Roman" w:hAnsi="Times New Roman" w:cs="Times New Roman"/>
          <w:kern w:val="24"/>
          <w:sz w:val="20"/>
          <w:szCs w:val="20"/>
          <w:vertAlign w:val="superscript"/>
        </w:rPr>
        <w:t>d</w:t>
      </w:r>
      <w:r w:rsidRPr="005E595A">
        <w:rPr>
          <w:rFonts w:ascii="Times New Roman" w:hAnsi="Times New Roman" w:cs="Times New Roman"/>
          <w:kern w:val="24"/>
          <w:sz w:val="20"/>
          <w:szCs w:val="20"/>
        </w:rPr>
        <w:t xml:space="preserve">, </w:t>
      </w:r>
      <w:r w:rsidRPr="005E595A">
        <w:rPr>
          <w:rFonts w:ascii="Times New Roman" w:eastAsia="Times New Roman" w:hAnsi="Times New Roman" w:cs="Times New Roman"/>
          <w:sz w:val="20"/>
          <w:szCs w:val="20"/>
          <w:lang w:eastAsia="de-DE"/>
        </w:rPr>
        <w:t>Trevor F. Keenan</w:t>
      </w:r>
      <w:r w:rsidRPr="005E595A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de-DE"/>
        </w:rPr>
        <w:t xml:space="preserve"> e, f</w:t>
      </w:r>
      <w:r w:rsidRPr="005E595A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, Nicholas G. Smith </w:t>
      </w:r>
      <w:r w:rsidRPr="005E595A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de-DE"/>
        </w:rPr>
        <w:t>g</w:t>
      </w:r>
    </w:p>
    <w:p w14:paraId="59A3FFF0" w14:textId="77777777" w:rsidR="00BD0433" w:rsidRPr="005E595A" w:rsidRDefault="00BD0433" w:rsidP="00BD0433">
      <w:pPr>
        <w:spacing w:line="480" w:lineRule="auto"/>
        <w:rPr>
          <w:rFonts w:ascii="Times New Roman" w:eastAsia="等线" w:hAnsi="Times New Roman" w:cs="Times New Roman"/>
          <w:sz w:val="20"/>
          <w:szCs w:val="20"/>
          <w:lang w:val="en-GB"/>
        </w:rPr>
      </w:pPr>
    </w:p>
    <w:p w14:paraId="039E723B" w14:textId="77777777" w:rsidR="00BD0433" w:rsidRPr="005E595A" w:rsidRDefault="00BD0433" w:rsidP="00BD0433">
      <w:pPr>
        <w:tabs>
          <w:tab w:val="center" w:pos="4150"/>
          <w:tab w:val="right" w:pos="10104"/>
        </w:tabs>
        <w:spacing w:line="48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val="en-GB"/>
        </w:rPr>
      </w:pPr>
      <w:r w:rsidRPr="005E595A">
        <w:rPr>
          <w:rFonts w:ascii="Times New Roman" w:eastAsia="Times New Roman" w:hAnsi="Times New Roman" w:cs="Times New Roman"/>
          <w:i/>
          <w:iCs/>
          <w:sz w:val="20"/>
          <w:szCs w:val="20"/>
          <w:vertAlign w:val="superscript"/>
          <w:lang w:val="en-GB" w:eastAsia="de-DE"/>
        </w:rPr>
        <w:t>a</w:t>
      </w:r>
      <w:r w:rsidRPr="005E595A">
        <w:rPr>
          <w:rFonts w:ascii="Times New Roman" w:eastAsia="Times New Roman" w:hAnsi="Times New Roman" w:cs="Times New Roman"/>
          <w:i/>
          <w:iCs/>
          <w:sz w:val="20"/>
          <w:szCs w:val="20"/>
          <w:lang w:val="en-GB" w:eastAsia="de-DE"/>
        </w:rPr>
        <w:t xml:space="preserve"> Department of Geography and Planning, University of Toronto, Toronto, Canada</w:t>
      </w:r>
    </w:p>
    <w:p w14:paraId="70910551" w14:textId="77777777" w:rsidR="00BD0433" w:rsidRPr="005E595A" w:rsidRDefault="00BD0433" w:rsidP="00BD0433">
      <w:pPr>
        <w:tabs>
          <w:tab w:val="center" w:pos="4150"/>
          <w:tab w:val="right" w:pos="10104"/>
        </w:tabs>
        <w:spacing w:line="480" w:lineRule="auto"/>
        <w:rPr>
          <w:rFonts w:ascii="Times New Roman" w:eastAsia="等线" w:hAnsi="Times New Roman" w:cs="Times New Roman"/>
          <w:i/>
          <w:iCs/>
          <w:sz w:val="20"/>
          <w:szCs w:val="20"/>
          <w:lang w:val="en-GB"/>
        </w:rPr>
      </w:pPr>
      <w:r w:rsidRPr="005E595A">
        <w:rPr>
          <w:rFonts w:ascii="Times New Roman" w:eastAsia="Times New Roman" w:hAnsi="Times New Roman" w:cs="Times New Roman"/>
          <w:i/>
          <w:iCs/>
          <w:sz w:val="20"/>
          <w:szCs w:val="20"/>
          <w:vertAlign w:val="superscript"/>
          <w:lang w:val="en-GB" w:eastAsia="de-DE"/>
        </w:rPr>
        <w:t>b</w:t>
      </w:r>
      <w:r w:rsidRPr="005E595A">
        <w:rPr>
          <w:rFonts w:ascii="Times New Roman" w:eastAsia="Times New Roman" w:hAnsi="Times New Roman" w:cs="Times New Roman"/>
          <w:i/>
          <w:iCs/>
          <w:sz w:val="20"/>
          <w:szCs w:val="20"/>
          <w:lang w:val="en-GB" w:eastAsia="de-DE"/>
        </w:rPr>
        <w:t xml:space="preserve"> School of Geographical Sciences, Fujian Normal University</w:t>
      </w:r>
      <w:r w:rsidRPr="005E595A">
        <w:rPr>
          <w:rFonts w:ascii="Times New Roman" w:eastAsia="等线" w:hAnsi="Times New Roman" w:cs="Times New Roman"/>
          <w:i/>
          <w:iCs/>
          <w:sz w:val="20"/>
          <w:szCs w:val="20"/>
          <w:lang w:val="en-GB"/>
        </w:rPr>
        <w:t xml:space="preserve">, Fuzhou, China </w:t>
      </w:r>
    </w:p>
    <w:p w14:paraId="0685E3FF" w14:textId="77777777" w:rsidR="00BD0433" w:rsidRPr="005E595A" w:rsidRDefault="00BD0433" w:rsidP="00BD0433">
      <w:pPr>
        <w:pStyle w:val="aa"/>
        <w:spacing w:line="480" w:lineRule="auto"/>
        <w:rPr>
          <w:rFonts w:ascii="Times New Roman" w:hAnsi="Times New Roman"/>
          <w:szCs w:val="20"/>
        </w:rPr>
      </w:pPr>
      <w:r w:rsidRPr="005E595A">
        <w:rPr>
          <w:rFonts w:ascii="Times New Roman" w:hAnsi="Times New Roman"/>
          <w:szCs w:val="20"/>
          <w:vertAlign w:val="superscript"/>
        </w:rPr>
        <w:t>c</w:t>
      </w:r>
      <w:r w:rsidRPr="005E595A">
        <w:rPr>
          <w:rFonts w:ascii="Times New Roman" w:hAnsi="Times New Roman"/>
          <w:szCs w:val="20"/>
        </w:rPr>
        <w:t xml:space="preserve"> School of Environmental and Resources Science, Zhejiang A&amp;F University, Hangzhou, 311300, China</w:t>
      </w:r>
    </w:p>
    <w:p w14:paraId="598872F2" w14:textId="77777777" w:rsidR="00BD0433" w:rsidRPr="005E595A" w:rsidRDefault="00BD0433" w:rsidP="00BD0433">
      <w:pPr>
        <w:tabs>
          <w:tab w:val="center" w:pos="4150"/>
          <w:tab w:val="right" w:pos="10104"/>
        </w:tabs>
        <w:spacing w:line="48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5E595A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d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E595A">
        <w:rPr>
          <w:rFonts w:ascii="Times New Roman" w:hAnsi="Times New Roman" w:cs="Times New Roman"/>
          <w:i/>
          <w:iCs/>
          <w:kern w:val="0"/>
          <w:sz w:val="20"/>
          <w:szCs w:val="20"/>
        </w:rPr>
        <w:t>Department of Life Sciences, Imperial College London, London, UK</w:t>
      </w:r>
    </w:p>
    <w:p w14:paraId="62AE886D" w14:textId="77777777" w:rsidR="00BD0433" w:rsidRPr="005E595A" w:rsidRDefault="00BD0433" w:rsidP="00BD0433">
      <w:pPr>
        <w:pStyle w:val="aa"/>
        <w:spacing w:line="480" w:lineRule="auto"/>
        <w:rPr>
          <w:rFonts w:ascii="Times New Roman" w:hAnsi="Times New Roman"/>
          <w:szCs w:val="20"/>
        </w:rPr>
      </w:pPr>
      <w:r w:rsidRPr="005E595A">
        <w:rPr>
          <w:rFonts w:ascii="Times New Roman" w:hAnsi="Times New Roman"/>
          <w:szCs w:val="20"/>
          <w:vertAlign w:val="superscript"/>
        </w:rPr>
        <w:t>e</w:t>
      </w:r>
      <w:r w:rsidRPr="005E595A">
        <w:rPr>
          <w:rFonts w:ascii="Times New Roman" w:hAnsi="Times New Roman"/>
          <w:szCs w:val="20"/>
        </w:rPr>
        <w:t xml:space="preserve"> Climate and Ecosystem Sciences Division, Lawrence Berkeley National Laboratory, Berkeley, CA, USA</w:t>
      </w:r>
    </w:p>
    <w:p w14:paraId="5CB4A79F" w14:textId="77777777" w:rsidR="00BD0433" w:rsidRPr="005E595A" w:rsidRDefault="00BD0433" w:rsidP="00BD0433">
      <w:pPr>
        <w:pStyle w:val="aa"/>
        <w:spacing w:line="480" w:lineRule="auto"/>
        <w:rPr>
          <w:rFonts w:ascii="Times New Roman" w:hAnsi="Times New Roman"/>
          <w:szCs w:val="20"/>
        </w:rPr>
      </w:pPr>
      <w:r w:rsidRPr="005E595A">
        <w:rPr>
          <w:rFonts w:ascii="Times New Roman" w:hAnsi="Times New Roman"/>
          <w:szCs w:val="20"/>
          <w:vertAlign w:val="superscript"/>
        </w:rPr>
        <w:t>f</w:t>
      </w:r>
      <w:r w:rsidRPr="005E595A">
        <w:rPr>
          <w:rFonts w:ascii="Times New Roman" w:hAnsi="Times New Roman"/>
          <w:szCs w:val="20"/>
        </w:rPr>
        <w:t xml:space="preserve"> Department of Environmental Science, Policy and Management, UC Berkeley, Berkeley, CA, USA</w:t>
      </w:r>
    </w:p>
    <w:p w14:paraId="198F596D" w14:textId="77777777" w:rsidR="00BD0433" w:rsidRPr="005E595A" w:rsidRDefault="00BD0433" w:rsidP="00BD0433">
      <w:pPr>
        <w:pStyle w:val="aa"/>
        <w:spacing w:line="480" w:lineRule="auto"/>
        <w:rPr>
          <w:rFonts w:ascii="Times New Roman" w:eastAsiaTheme="minorEastAsia" w:hAnsi="Times New Roman"/>
          <w:szCs w:val="20"/>
          <w:lang w:eastAsia="zh-CN"/>
        </w:rPr>
      </w:pPr>
      <w:r w:rsidRPr="005E595A">
        <w:rPr>
          <w:rFonts w:ascii="Times New Roman" w:eastAsiaTheme="minorEastAsia" w:hAnsi="Times New Roman"/>
          <w:szCs w:val="20"/>
          <w:vertAlign w:val="superscript"/>
          <w:lang w:eastAsia="zh-CN"/>
        </w:rPr>
        <w:t>g</w:t>
      </w:r>
      <w:r w:rsidRPr="005E595A">
        <w:rPr>
          <w:rFonts w:ascii="Times New Roman" w:eastAsiaTheme="minorEastAsia" w:hAnsi="Times New Roman"/>
          <w:szCs w:val="20"/>
          <w:lang w:eastAsia="zh-CN"/>
        </w:rPr>
        <w:t xml:space="preserve"> </w:t>
      </w:r>
      <w:r w:rsidRPr="005E595A">
        <w:rPr>
          <w:rFonts w:ascii="Times New Roman" w:hAnsi="Times New Roman"/>
          <w:szCs w:val="20"/>
        </w:rPr>
        <w:t>Department of Biological Sciences, Texas Tech University, Lubbock, TX, USA</w:t>
      </w:r>
    </w:p>
    <w:bookmarkEnd w:id="1"/>
    <w:p w14:paraId="31409BE5" w14:textId="77777777" w:rsidR="00BD0433" w:rsidRPr="005E595A" w:rsidRDefault="00BD0433" w:rsidP="00271940">
      <w:pPr>
        <w:widowControl/>
        <w:tabs>
          <w:tab w:val="center" w:pos="4150"/>
          <w:tab w:val="right" w:pos="10104"/>
        </w:tabs>
        <w:spacing w:line="48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val="en-GB" w:eastAsia="de-DE"/>
          <w14:ligatures w14:val="none"/>
        </w:rPr>
      </w:pPr>
    </w:p>
    <w:p w14:paraId="1DC6972E" w14:textId="714CFADB" w:rsidR="00271940" w:rsidRPr="005E595A" w:rsidRDefault="00271940" w:rsidP="00271940">
      <w:pPr>
        <w:widowControl/>
        <w:tabs>
          <w:tab w:val="center" w:pos="4150"/>
          <w:tab w:val="right" w:pos="10104"/>
        </w:tabs>
        <w:spacing w:line="48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GB" w:eastAsia="de-DE"/>
          <w14:ligatures w14:val="none"/>
        </w:rPr>
      </w:pPr>
      <w:r w:rsidRPr="005E595A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val="en-GB" w:eastAsia="de-DE"/>
          <w14:ligatures w14:val="none"/>
        </w:rPr>
        <w:t>⁎</w:t>
      </w:r>
      <w:r w:rsidRPr="005E595A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GB" w:eastAsia="de-DE"/>
          <w14:ligatures w14:val="none"/>
        </w:rPr>
        <w:t xml:space="preserve"> Corresponding author at: Department of Geography and Program in Planning, University of Toronto, Toronto, Canada, and School of Geographical Sciences, Fujian Normal University</w:t>
      </w:r>
      <w:r w:rsidRPr="005E595A">
        <w:rPr>
          <w:rFonts w:ascii="Times New Roman" w:hAnsi="Times New Roman" w:cs="Times New Roman"/>
          <w:i/>
          <w:iCs/>
          <w:kern w:val="0"/>
          <w:sz w:val="20"/>
          <w:szCs w:val="20"/>
          <w:lang w:val="en-GB"/>
          <w14:ligatures w14:val="none"/>
        </w:rPr>
        <w:t>, Fuzhou, China</w:t>
      </w:r>
      <w:r w:rsidRPr="005E595A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GB" w:eastAsia="de-DE"/>
          <w14:ligatures w14:val="none"/>
        </w:rPr>
        <w:t xml:space="preserve">. </w:t>
      </w:r>
    </w:p>
    <w:p w14:paraId="66A28039" w14:textId="77777777" w:rsidR="00271940" w:rsidRPr="005E595A" w:rsidRDefault="00271940" w:rsidP="00271940">
      <w:pPr>
        <w:widowControl/>
        <w:tabs>
          <w:tab w:val="center" w:pos="4150"/>
          <w:tab w:val="right" w:pos="10104"/>
        </w:tabs>
        <w:spacing w:line="48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GB" w:eastAsia="de-DE"/>
          <w14:ligatures w14:val="none"/>
        </w:rPr>
      </w:pPr>
      <w:r w:rsidRPr="005E595A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GB" w:eastAsia="de-DE"/>
          <w14:ligatures w14:val="none"/>
        </w:rPr>
        <w:t>E-mail address: jing.chen@utoronto.ca (JM. Chen)</w:t>
      </w:r>
    </w:p>
    <w:p w14:paraId="7DD806A9" w14:textId="77777777" w:rsidR="00DE611A" w:rsidRPr="005E595A" w:rsidRDefault="00DE611A" w:rsidP="00C638D7">
      <w:pPr>
        <w:spacing w:line="480" w:lineRule="auto"/>
        <w:ind w:leftChars="-675" w:left="-1418"/>
      </w:pPr>
    </w:p>
    <w:p w14:paraId="6847C054" w14:textId="77777777" w:rsidR="00EA7B18" w:rsidRPr="005E595A" w:rsidRDefault="00EA7B18">
      <w:pPr>
        <w:widowControl/>
        <w:jc w:val="left"/>
      </w:pPr>
    </w:p>
    <w:p w14:paraId="55808889" w14:textId="77777777" w:rsidR="00EA7B18" w:rsidRPr="005E595A" w:rsidRDefault="00EA7B18">
      <w:pPr>
        <w:widowControl/>
        <w:jc w:val="left"/>
      </w:pPr>
      <w:r w:rsidRPr="005E595A">
        <w:br w:type="page"/>
      </w:r>
    </w:p>
    <w:p w14:paraId="745988AF" w14:textId="65534140" w:rsidR="00EA7B18" w:rsidRPr="005E595A" w:rsidRDefault="00EA7B18" w:rsidP="00EA7B18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5E595A">
        <w:rPr>
          <w:rFonts w:ascii="Times New Roman" w:hAnsi="Times New Roman" w:cs="Times New Roman"/>
          <w:b/>
          <w:bCs/>
          <w:sz w:val="20"/>
          <w:szCs w:val="20"/>
        </w:rPr>
        <w:lastRenderedPageBreak/>
        <w:t>Table S1</w:t>
      </w:r>
      <w:r w:rsidRPr="005E595A">
        <w:rPr>
          <w:rFonts w:ascii="Times New Roman" w:hAnsi="Times New Roman" w:cs="Times New Roman"/>
          <w:sz w:val="20"/>
          <w:szCs w:val="20"/>
        </w:rPr>
        <w:t xml:space="preserve"> Leaf parameters used in the PROSPECT model for each PFT. 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5E595A">
        <w:rPr>
          <w:rFonts w:ascii="Times New Roman" w:hAnsi="Times New Roman" w:cs="Times New Roman"/>
          <w:sz w:val="20"/>
          <w:szCs w:val="20"/>
        </w:rPr>
        <w:t xml:space="preserve"> refers to structure parameter, 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Car</w:t>
      </w:r>
      <w:r w:rsidRPr="005E595A">
        <w:rPr>
          <w:rFonts w:ascii="Times New Roman" w:hAnsi="Times New Roman" w:cs="Times New Roman"/>
          <w:sz w:val="20"/>
          <w:szCs w:val="20"/>
        </w:rPr>
        <w:t xml:space="preserve"> refers to carotenoid content, 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Cb</w:t>
      </w:r>
      <w:r w:rsidRPr="005E595A">
        <w:rPr>
          <w:rFonts w:ascii="Times New Roman" w:hAnsi="Times New Roman" w:cs="Times New Roman"/>
          <w:sz w:val="20"/>
          <w:szCs w:val="20"/>
        </w:rPr>
        <w:t xml:space="preserve"> refers to brown pigment, 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Cm</w:t>
      </w:r>
      <w:r w:rsidRPr="005E595A">
        <w:rPr>
          <w:rFonts w:ascii="Times New Roman" w:hAnsi="Times New Roman" w:cs="Times New Roman"/>
          <w:sz w:val="20"/>
          <w:szCs w:val="20"/>
        </w:rPr>
        <w:t xml:space="preserve"> refers dry matter, and 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Cw</w:t>
      </w:r>
      <w:r w:rsidRPr="005E595A">
        <w:rPr>
          <w:rFonts w:ascii="Times New Roman" w:hAnsi="Times New Roman" w:cs="Times New Roman"/>
          <w:sz w:val="20"/>
          <w:szCs w:val="20"/>
        </w:rPr>
        <w:t xml:space="preserve"> refers equivalent water thickness. ENF = Evergreen needleleaf forest, EBF = Evergreen broadleaf forest, DBF = Deciduous broadleaf forest, MF = Mixed broadleaf forest, SHR = Shrubland, SAV = 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savanna; </w:t>
      </w:r>
      <w:r w:rsidRPr="005E595A">
        <w:rPr>
          <w:rFonts w:ascii="Times New Roman" w:hAnsi="Times New Roman" w:cs="Times New Roman"/>
          <w:sz w:val="20"/>
          <w:szCs w:val="20"/>
        </w:rPr>
        <w:t>GRS = Grassland, CRO = Cropland</w:t>
      </w:r>
    </w:p>
    <w:tbl>
      <w:tblPr>
        <w:tblStyle w:val="ab"/>
        <w:tblW w:w="10115" w:type="dxa"/>
        <w:tblInd w:w="-9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646"/>
        <w:gridCol w:w="1535"/>
        <w:gridCol w:w="630"/>
        <w:gridCol w:w="1399"/>
        <w:gridCol w:w="1377"/>
        <w:gridCol w:w="3709"/>
      </w:tblGrid>
      <w:tr w:rsidR="005E595A" w:rsidRPr="005E595A" w14:paraId="59A7CAFC" w14:textId="77777777" w:rsidTr="007022E8">
        <w:tc>
          <w:tcPr>
            <w:tcW w:w="819" w:type="dxa"/>
            <w:tcBorders>
              <w:bottom w:val="single" w:sz="4" w:space="0" w:color="auto"/>
            </w:tcBorders>
          </w:tcPr>
          <w:p w14:paraId="29DD9F75" w14:textId="77777777" w:rsidR="00EA7B18" w:rsidRPr="005E595A" w:rsidRDefault="00EA7B18" w:rsidP="007022E8">
            <w:pPr>
              <w:spacing w:line="480" w:lineRule="auto"/>
              <w:jc w:val="center"/>
              <w:rPr>
                <w:b/>
                <w:bCs/>
                <w:iCs/>
                <w:szCs w:val="20"/>
              </w:rPr>
            </w:pPr>
            <w:r w:rsidRPr="005E595A">
              <w:rPr>
                <w:b/>
                <w:bCs/>
                <w:iCs/>
                <w:szCs w:val="20"/>
              </w:rPr>
              <w:t>PFT</w:t>
            </w: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363B04FA" w14:textId="77777777" w:rsidR="00EA7B18" w:rsidRPr="005E595A" w:rsidRDefault="00EA7B18" w:rsidP="007022E8">
            <w:pPr>
              <w:spacing w:line="480" w:lineRule="auto"/>
              <w:jc w:val="center"/>
              <w:rPr>
                <w:b/>
                <w:bCs/>
                <w:iCs/>
                <w:szCs w:val="20"/>
              </w:rPr>
            </w:pPr>
            <w:r w:rsidRPr="005E595A">
              <w:rPr>
                <w:b/>
                <w:bCs/>
                <w:i/>
                <w:iCs/>
                <w:szCs w:val="20"/>
              </w:rPr>
              <w:t>N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14:paraId="113AAA83" w14:textId="77777777" w:rsidR="00EA7B18" w:rsidRPr="005E595A" w:rsidRDefault="00EA7B18" w:rsidP="007022E8">
            <w:pPr>
              <w:spacing w:line="480" w:lineRule="auto"/>
              <w:jc w:val="center"/>
              <w:rPr>
                <w:b/>
                <w:bCs/>
                <w:iCs/>
                <w:szCs w:val="20"/>
              </w:rPr>
            </w:pPr>
            <w:r w:rsidRPr="005E595A">
              <w:rPr>
                <w:b/>
                <w:bCs/>
                <w:i/>
                <w:iCs/>
                <w:szCs w:val="20"/>
              </w:rPr>
              <w:t>Car</w:t>
            </w:r>
            <w:r w:rsidRPr="005E595A">
              <w:rPr>
                <w:b/>
                <w:bCs/>
                <w:szCs w:val="20"/>
              </w:rPr>
              <w:t xml:space="preserve"> (</w:t>
            </w:r>
            <w:r w:rsidRPr="005E595A">
              <w:rPr>
                <w:b/>
                <w:bCs/>
                <w:iCs/>
                <w:szCs w:val="20"/>
              </w:rPr>
              <w:t>μ</w:t>
            </w:r>
            <w:r w:rsidRPr="005E595A">
              <w:rPr>
                <w:b/>
                <w:bCs/>
                <w:kern w:val="24"/>
                <w:szCs w:val="20"/>
              </w:rPr>
              <w:t>g·cm</w:t>
            </w:r>
            <w:r w:rsidRPr="005E595A">
              <w:rPr>
                <w:b/>
                <w:bCs/>
                <w:kern w:val="24"/>
                <w:szCs w:val="20"/>
                <w:vertAlign w:val="superscript"/>
              </w:rPr>
              <w:t>-2</w:t>
            </w:r>
            <w:r w:rsidRPr="005E595A">
              <w:rPr>
                <w:b/>
                <w:bCs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2AC2634" w14:textId="77777777" w:rsidR="00EA7B18" w:rsidRPr="005E595A" w:rsidRDefault="00EA7B18" w:rsidP="007022E8">
            <w:pPr>
              <w:spacing w:line="480" w:lineRule="auto"/>
              <w:jc w:val="center"/>
              <w:rPr>
                <w:b/>
                <w:bCs/>
                <w:iCs/>
                <w:szCs w:val="20"/>
              </w:rPr>
            </w:pPr>
            <w:r w:rsidRPr="005E595A">
              <w:rPr>
                <w:b/>
                <w:bCs/>
                <w:i/>
                <w:iCs/>
                <w:szCs w:val="20"/>
              </w:rPr>
              <w:t>Cb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71425EB9" w14:textId="77777777" w:rsidR="00EA7B18" w:rsidRPr="005E595A" w:rsidRDefault="00EA7B18" w:rsidP="007022E8">
            <w:pPr>
              <w:spacing w:line="480" w:lineRule="auto"/>
              <w:jc w:val="center"/>
              <w:rPr>
                <w:b/>
                <w:bCs/>
                <w:iCs/>
                <w:szCs w:val="20"/>
              </w:rPr>
            </w:pPr>
            <w:r w:rsidRPr="005E595A">
              <w:rPr>
                <w:b/>
                <w:bCs/>
                <w:i/>
                <w:iCs/>
                <w:szCs w:val="20"/>
              </w:rPr>
              <w:t>Cm</w:t>
            </w:r>
            <w:r w:rsidRPr="005E595A">
              <w:rPr>
                <w:b/>
                <w:bCs/>
                <w:szCs w:val="20"/>
              </w:rPr>
              <w:t xml:space="preserve"> (</w:t>
            </w:r>
            <w:r w:rsidRPr="005E595A">
              <w:rPr>
                <w:b/>
                <w:bCs/>
                <w:kern w:val="24"/>
                <w:szCs w:val="20"/>
              </w:rPr>
              <w:t>g·cm</w:t>
            </w:r>
            <w:r w:rsidRPr="005E595A">
              <w:rPr>
                <w:b/>
                <w:bCs/>
                <w:kern w:val="24"/>
                <w:szCs w:val="20"/>
                <w:vertAlign w:val="superscript"/>
              </w:rPr>
              <w:t>-2</w:t>
            </w:r>
            <w:r w:rsidRPr="005E595A">
              <w:rPr>
                <w:b/>
                <w:bCs/>
                <w:szCs w:val="20"/>
              </w:rPr>
              <w:t>)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1A38C423" w14:textId="77777777" w:rsidR="00EA7B18" w:rsidRPr="005E595A" w:rsidRDefault="00EA7B18" w:rsidP="007022E8">
            <w:pPr>
              <w:spacing w:line="480" w:lineRule="auto"/>
              <w:jc w:val="center"/>
              <w:rPr>
                <w:b/>
                <w:bCs/>
                <w:iCs/>
                <w:szCs w:val="20"/>
              </w:rPr>
            </w:pPr>
            <w:r w:rsidRPr="005E595A">
              <w:rPr>
                <w:b/>
                <w:bCs/>
                <w:i/>
                <w:iCs/>
                <w:szCs w:val="20"/>
              </w:rPr>
              <w:t>Cw</w:t>
            </w:r>
            <w:r w:rsidRPr="005E595A">
              <w:rPr>
                <w:b/>
                <w:bCs/>
                <w:szCs w:val="20"/>
              </w:rPr>
              <w:t xml:space="preserve"> (</w:t>
            </w:r>
            <w:r w:rsidRPr="005E595A">
              <w:rPr>
                <w:b/>
                <w:bCs/>
                <w:kern w:val="24"/>
                <w:szCs w:val="20"/>
              </w:rPr>
              <w:t>g·cm</w:t>
            </w:r>
            <w:r w:rsidRPr="005E595A">
              <w:rPr>
                <w:b/>
                <w:bCs/>
                <w:kern w:val="24"/>
                <w:szCs w:val="20"/>
                <w:vertAlign w:val="superscript"/>
              </w:rPr>
              <w:t>-2</w:t>
            </w:r>
            <w:r w:rsidRPr="005E595A">
              <w:rPr>
                <w:b/>
                <w:bCs/>
                <w:szCs w:val="20"/>
              </w:rPr>
              <w:t>)</w:t>
            </w:r>
          </w:p>
        </w:tc>
        <w:tc>
          <w:tcPr>
            <w:tcW w:w="3709" w:type="dxa"/>
            <w:tcBorders>
              <w:bottom w:val="single" w:sz="4" w:space="0" w:color="auto"/>
            </w:tcBorders>
          </w:tcPr>
          <w:p w14:paraId="0EC93FF8" w14:textId="77777777" w:rsidR="00EA7B18" w:rsidRPr="005E595A" w:rsidRDefault="00EA7B18" w:rsidP="007022E8">
            <w:pPr>
              <w:spacing w:line="480" w:lineRule="auto"/>
              <w:jc w:val="center"/>
              <w:rPr>
                <w:b/>
                <w:bCs/>
                <w:szCs w:val="20"/>
              </w:rPr>
            </w:pPr>
            <w:r w:rsidRPr="005E595A">
              <w:rPr>
                <w:b/>
                <w:bCs/>
                <w:szCs w:val="20"/>
              </w:rPr>
              <w:t>Reference</w:t>
            </w:r>
          </w:p>
        </w:tc>
      </w:tr>
      <w:tr w:rsidR="005E595A" w:rsidRPr="005E595A" w14:paraId="2E6C679B" w14:textId="77777777" w:rsidTr="007022E8">
        <w:tc>
          <w:tcPr>
            <w:tcW w:w="819" w:type="dxa"/>
            <w:tcBorders>
              <w:top w:val="single" w:sz="4" w:space="0" w:color="auto"/>
            </w:tcBorders>
          </w:tcPr>
          <w:p w14:paraId="152300BD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ENF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7AE0084E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2.8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7FAB9AA2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LCC/7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5583441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53D9A81C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0.05</w:t>
            </w:r>
          </w:p>
        </w:tc>
        <w:tc>
          <w:tcPr>
            <w:tcW w:w="1377" w:type="dxa"/>
            <w:tcBorders>
              <w:top w:val="single" w:sz="4" w:space="0" w:color="auto"/>
            </w:tcBorders>
          </w:tcPr>
          <w:p w14:paraId="601315CF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0.01</w:t>
            </w:r>
          </w:p>
        </w:tc>
        <w:tc>
          <w:tcPr>
            <w:tcW w:w="3709" w:type="dxa"/>
            <w:tcBorders>
              <w:top w:val="single" w:sz="4" w:space="0" w:color="auto"/>
            </w:tcBorders>
          </w:tcPr>
          <w:p w14:paraId="573885A8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De Santis et al. (2009) &amp; Kötz et al. (2004)</w:t>
            </w:r>
          </w:p>
        </w:tc>
      </w:tr>
      <w:tr w:rsidR="005E595A" w:rsidRPr="005E595A" w14:paraId="175A016C" w14:textId="77777777" w:rsidTr="007022E8">
        <w:tc>
          <w:tcPr>
            <w:tcW w:w="819" w:type="dxa"/>
          </w:tcPr>
          <w:p w14:paraId="0FCF7C87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EBF</w:t>
            </w:r>
          </w:p>
        </w:tc>
        <w:tc>
          <w:tcPr>
            <w:tcW w:w="646" w:type="dxa"/>
          </w:tcPr>
          <w:p w14:paraId="25E90B01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1.8</w:t>
            </w:r>
          </w:p>
        </w:tc>
        <w:tc>
          <w:tcPr>
            <w:tcW w:w="1535" w:type="dxa"/>
          </w:tcPr>
          <w:p w14:paraId="7857F589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LCC/7</w:t>
            </w:r>
          </w:p>
        </w:tc>
        <w:tc>
          <w:tcPr>
            <w:tcW w:w="630" w:type="dxa"/>
          </w:tcPr>
          <w:p w14:paraId="6173703E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</w:t>
            </w:r>
          </w:p>
        </w:tc>
        <w:tc>
          <w:tcPr>
            <w:tcW w:w="1399" w:type="dxa"/>
          </w:tcPr>
          <w:p w14:paraId="24A5F4E2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0.005</w:t>
            </w:r>
          </w:p>
        </w:tc>
        <w:tc>
          <w:tcPr>
            <w:tcW w:w="1377" w:type="dxa"/>
          </w:tcPr>
          <w:p w14:paraId="0DB04D55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0.01</w:t>
            </w:r>
          </w:p>
        </w:tc>
        <w:tc>
          <w:tcPr>
            <w:tcW w:w="3709" w:type="dxa"/>
          </w:tcPr>
          <w:p w14:paraId="3F937771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Arellano et al., 2017a, 2017b</w:t>
            </w:r>
          </w:p>
        </w:tc>
      </w:tr>
      <w:tr w:rsidR="005E595A" w:rsidRPr="005E595A" w14:paraId="6339F78F" w14:textId="77777777" w:rsidTr="007022E8">
        <w:tc>
          <w:tcPr>
            <w:tcW w:w="819" w:type="dxa"/>
          </w:tcPr>
          <w:p w14:paraId="72F537C4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DBF</w:t>
            </w:r>
          </w:p>
        </w:tc>
        <w:tc>
          <w:tcPr>
            <w:tcW w:w="646" w:type="dxa"/>
          </w:tcPr>
          <w:p w14:paraId="4469487F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1.2</w:t>
            </w:r>
          </w:p>
        </w:tc>
        <w:tc>
          <w:tcPr>
            <w:tcW w:w="1535" w:type="dxa"/>
          </w:tcPr>
          <w:p w14:paraId="160F185D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LCC/7</w:t>
            </w:r>
          </w:p>
        </w:tc>
        <w:tc>
          <w:tcPr>
            <w:tcW w:w="630" w:type="dxa"/>
          </w:tcPr>
          <w:p w14:paraId="5C2674A9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</w:t>
            </w:r>
          </w:p>
        </w:tc>
        <w:tc>
          <w:tcPr>
            <w:tcW w:w="1399" w:type="dxa"/>
          </w:tcPr>
          <w:p w14:paraId="4A565F2B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0.005</w:t>
            </w:r>
          </w:p>
        </w:tc>
        <w:tc>
          <w:tcPr>
            <w:tcW w:w="1377" w:type="dxa"/>
          </w:tcPr>
          <w:p w14:paraId="6E8DE469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0.01</w:t>
            </w:r>
          </w:p>
        </w:tc>
        <w:tc>
          <w:tcPr>
            <w:tcW w:w="3709" w:type="dxa"/>
          </w:tcPr>
          <w:p w14:paraId="548090A5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Féret et al. (2011)</w:t>
            </w:r>
          </w:p>
        </w:tc>
      </w:tr>
      <w:tr w:rsidR="005E595A" w:rsidRPr="005E595A" w14:paraId="35F8CB56" w14:textId="77777777" w:rsidTr="007022E8">
        <w:tc>
          <w:tcPr>
            <w:tcW w:w="819" w:type="dxa"/>
          </w:tcPr>
          <w:p w14:paraId="41DB1F30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MF</w:t>
            </w:r>
          </w:p>
        </w:tc>
        <w:tc>
          <w:tcPr>
            <w:tcW w:w="646" w:type="dxa"/>
          </w:tcPr>
          <w:p w14:paraId="0E48400B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1.2</w:t>
            </w:r>
          </w:p>
        </w:tc>
        <w:tc>
          <w:tcPr>
            <w:tcW w:w="1535" w:type="dxa"/>
          </w:tcPr>
          <w:p w14:paraId="04CDA40A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LCC/7</w:t>
            </w:r>
          </w:p>
        </w:tc>
        <w:tc>
          <w:tcPr>
            <w:tcW w:w="630" w:type="dxa"/>
          </w:tcPr>
          <w:p w14:paraId="601AD664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</w:t>
            </w:r>
          </w:p>
        </w:tc>
        <w:tc>
          <w:tcPr>
            <w:tcW w:w="1399" w:type="dxa"/>
          </w:tcPr>
          <w:p w14:paraId="009FB477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0.005</w:t>
            </w:r>
          </w:p>
        </w:tc>
        <w:tc>
          <w:tcPr>
            <w:tcW w:w="1377" w:type="dxa"/>
          </w:tcPr>
          <w:p w14:paraId="09DAEF8F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0.01</w:t>
            </w:r>
          </w:p>
        </w:tc>
        <w:tc>
          <w:tcPr>
            <w:tcW w:w="3709" w:type="dxa"/>
          </w:tcPr>
          <w:p w14:paraId="2F24E884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Féret et al. (2011)</w:t>
            </w:r>
          </w:p>
        </w:tc>
      </w:tr>
      <w:tr w:rsidR="005E595A" w:rsidRPr="005E595A" w14:paraId="545ED046" w14:textId="77777777" w:rsidTr="007022E8">
        <w:tc>
          <w:tcPr>
            <w:tcW w:w="819" w:type="dxa"/>
          </w:tcPr>
          <w:p w14:paraId="249D66FE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SHR</w:t>
            </w:r>
          </w:p>
        </w:tc>
        <w:tc>
          <w:tcPr>
            <w:tcW w:w="646" w:type="dxa"/>
          </w:tcPr>
          <w:p w14:paraId="4584D7AB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1.8</w:t>
            </w:r>
          </w:p>
        </w:tc>
        <w:tc>
          <w:tcPr>
            <w:tcW w:w="1535" w:type="dxa"/>
          </w:tcPr>
          <w:p w14:paraId="14529A35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LCC/7</w:t>
            </w:r>
          </w:p>
        </w:tc>
        <w:tc>
          <w:tcPr>
            <w:tcW w:w="630" w:type="dxa"/>
          </w:tcPr>
          <w:p w14:paraId="3FF2A9FD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</w:t>
            </w:r>
          </w:p>
        </w:tc>
        <w:tc>
          <w:tcPr>
            <w:tcW w:w="1399" w:type="dxa"/>
          </w:tcPr>
          <w:p w14:paraId="5B70145E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0.005</w:t>
            </w:r>
          </w:p>
        </w:tc>
        <w:tc>
          <w:tcPr>
            <w:tcW w:w="1377" w:type="dxa"/>
          </w:tcPr>
          <w:p w14:paraId="75CA4298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0.01</w:t>
            </w:r>
          </w:p>
        </w:tc>
        <w:tc>
          <w:tcPr>
            <w:tcW w:w="3709" w:type="dxa"/>
          </w:tcPr>
          <w:p w14:paraId="6B69C95C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Enrique et al. (2016) &amp; Sow et al. (2013)</w:t>
            </w:r>
          </w:p>
        </w:tc>
      </w:tr>
      <w:tr w:rsidR="005E595A" w:rsidRPr="005E595A" w14:paraId="14AD2387" w14:textId="77777777" w:rsidTr="007022E8">
        <w:tc>
          <w:tcPr>
            <w:tcW w:w="819" w:type="dxa"/>
          </w:tcPr>
          <w:p w14:paraId="5468DF07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SAV</w:t>
            </w:r>
          </w:p>
        </w:tc>
        <w:tc>
          <w:tcPr>
            <w:tcW w:w="646" w:type="dxa"/>
          </w:tcPr>
          <w:p w14:paraId="5640E1F7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1.2</w:t>
            </w:r>
          </w:p>
        </w:tc>
        <w:tc>
          <w:tcPr>
            <w:tcW w:w="1535" w:type="dxa"/>
          </w:tcPr>
          <w:p w14:paraId="12299314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LCC/7</w:t>
            </w:r>
          </w:p>
        </w:tc>
        <w:tc>
          <w:tcPr>
            <w:tcW w:w="630" w:type="dxa"/>
          </w:tcPr>
          <w:p w14:paraId="5FFC31A4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</w:t>
            </w:r>
          </w:p>
        </w:tc>
        <w:tc>
          <w:tcPr>
            <w:tcW w:w="1399" w:type="dxa"/>
          </w:tcPr>
          <w:p w14:paraId="69095670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0.005</w:t>
            </w:r>
          </w:p>
        </w:tc>
        <w:tc>
          <w:tcPr>
            <w:tcW w:w="1377" w:type="dxa"/>
          </w:tcPr>
          <w:p w14:paraId="2645FC2D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0.01</w:t>
            </w:r>
          </w:p>
        </w:tc>
        <w:tc>
          <w:tcPr>
            <w:tcW w:w="3709" w:type="dxa"/>
          </w:tcPr>
          <w:p w14:paraId="65E81CFE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Féret et al. (2011)</w:t>
            </w:r>
          </w:p>
        </w:tc>
      </w:tr>
      <w:tr w:rsidR="005E595A" w:rsidRPr="005E595A" w14:paraId="3597D28D" w14:textId="77777777" w:rsidTr="007022E8">
        <w:tc>
          <w:tcPr>
            <w:tcW w:w="819" w:type="dxa"/>
          </w:tcPr>
          <w:p w14:paraId="5138B10F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GRA</w:t>
            </w:r>
          </w:p>
        </w:tc>
        <w:tc>
          <w:tcPr>
            <w:tcW w:w="646" w:type="dxa"/>
          </w:tcPr>
          <w:p w14:paraId="06ED5D13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1.2</w:t>
            </w:r>
          </w:p>
        </w:tc>
        <w:tc>
          <w:tcPr>
            <w:tcW w:w="1535" w:type="dxa"/>
          </w:tcPr>
          <w:p w14:paraId="5B186676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LCC/7</w:t>
            </w:r>
          </w:p>
        </w:tc>
        <w:tc>
          <w:tcPr>
            <w:tcW w:w="630" w:type="dxa"/>
          </w:tcPr>
          <w:p w14:paraId="521F9E6C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</w:t>
            </w:r>
          </w:p>
        </w:tc>
        <w:tc>
          <w:tcPr>
            <w:tcW w:w="1399" w:type="dxa"/>
          </w:tcPr>
          <w:p w14:paraId="220D821B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0.005</w:t>
            </w:r>
          </w:p>
        </w:tc>
        <w:tc>
          <w:tcPr>
            <w:tcW w:w="1377" w:type="dxa"/>
          </w:tcPr>
          <w:p w14:paraId="7B451CB9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0.01</w:t>
            </w:r>
          </w:p>
        </w:tc>
        <w:tc>
          <w:tcPr>
            <w:tcW w:w="3709" w:type="dxa"/>
          </w:tcPr>
          <w:p w14:paraId="256BDA06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Darvishzadeh et al. (2008)</w:t>
            </w:r>
          </w:p>
        </w:tc>
      </w:tr>
      <w:tr w:rsidR="005E595A" w:rsidRPr="005E595A" w14:paraId="1D222E7C" w14:textId="77777777" w:rsidTr="007022E8">
        <w:tc>
          <w:tcPr>
            <w:tcW w:w="819" w:type="dxa"/>
          </w:tcPr>
          <w:p w14:paraId="1C7531CF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CRO</w:t>
            </w:r>
          </w:p>
        </w:tc>
        <w:tc>
          <w:tcPr>
            <w:tcW w:w="646" w:type="dxa"/>
          </w:tcPr>
          <w:p w14:paraId="570489B8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1.4</w:t>
            </w:r>
          </w:p>
        </w:tc>
        <w:tc>
          <w:tcPr>
            <w:tcW w:w="1535" w:type="dxa"/>
          </w:tcPr>
          <w:p w14:paraId="64244889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LCC/7</w:t>
            </w:r>
          </w:p>
        </w:tc>
        <w:tc>
          <w:tcPr>
            <w:tcW w:w="630" w:type="dxa"/>
          </w:tcPr>
          <w:p w14:paraId="5EFF90CD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</w:t>
            </w:r>
          </w:p>
        </w:tc>
        <w:tc>
          <w:tcPr>
            <w:tcW w:w="1399" w:type="dxa"/>
          </w:tcPr>
          <w:p w14:paraId="0D62EAEF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0.015</w:t>
            </w:r>
          </w:p>
        </w:tc>
        <w:tc>
          <w:tcPr>
            <w:tcW w:w="1377" w:type="dxa"/>
          </w:tcPr>
          <w:p w14:paraId="26DB79DD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0.01</w:t>
            </w:r>
          </w:p>
        </w:tc>
        <w:tc>
          <w:tcPr>
            <w:tcW w:w="3709" w:type="dxa"/>
          </w:tcPr>
          <w:p w14:paraId="4CDEDF1D" w14:textId="77777777" w:rsidR="00EA7B18" w:rsidRPr="005E595A" w:rsidRDefault="00EA7B18" w:rsidP="007022E8">
            <w:pPr>
              <w:spacing w:line="480" w:lineRule="auto"/>
              <w:jc w:val="center"/>
              <w:rPr>
                <w:iCs/>
                <w:szCs w:val="20"/>
              </w:rPr>
            </w:pPr>
            <w:r w:rsidRPr="005E595A">
              <w:rPr>
                <w:iCs/>
                <w:szCs w:val="20"/>
              </w:rPr>
              <w:t>Jacquemoud et al. (2000)</w:t>
            </w:r>
          </w:p>
        </w:tc>
      </w:tr>
    </w:tbl>
    <w:p w14:paraId="365FADA7" w14:textId="77777777" w:rsidR="00EA7B18" w:rsidRPr="005E595A" w:rsidRDefault="00EA7B18">
      <w:pPr>
        <w:widowControl/>
        <w:jc w:val="left"/>
      </w:pPr>
      <w:r w:rsidRPr="005E595A">
        <w:br w:type="page"/>
      </w:r>
    </w:p>
    <w:p w14:paraId="081FE909" w14:textId="0B7E4427" w:rsidR="008A463F" w:rsidRPr="005E595A" w:rsidRDefault="00467D2B" w:rsidP="008A463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GB" w:eastAsia="de-DE"/>
          <w14:ligatures w14:val="none"/>
        </w:rPr>
      </w:pPr>
      <w:r w:rsidRPr="005E595A">
        <w:rPr>
          <w:rFonts w:ascii="Times New Roman" w:eastAsia="Times New Roman" w:hAnsi="Times New Roman" w:cs="Times New Roman"/>
          <w:b/>
          <w:bCs/>
          <w:noProof/>
          <w:kern w:val="0"/>
          <w:sz w:val="20"/>
          <w:szCs w:val="20"/>
          <w:lang w:val="en-GB" w:eastAsia="de-DE"/>
        </w:rPr>
        <w:lastRenderedPageBreak/>
        <w:drawing>
          <wp:inline distT="0" distB="0" distL="0" distR="0" wp14:anchorId="06094977" wp14:editId="4EE7EFAA">
            <wp:extent cx="5274310" cy="1736054"/>
            <wp:effectExtent l="0" t="0" r="2540" b="0"/>
            <wp:docPr id="2138659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59943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D37E" w14:textId="164E7888" w:rsidR="008A463F" w:rsidRPr="005E595A" w:rsidRDefault="008A463F" w:rsidP="008A463F">
      <w:pPr>
        <w:spacing w:line="480" w:lineRule="auto"/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</w:pPr>
      <w:r w:rsidRPr="005E59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GB" w:eastAsia="de-DE"/>
          <w14:ligatures w14:val="none"/>
        </w:rPr>
        <w:t xml:space="preserve">Fig. S1. 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Relationship</w:t>
      </w:r>
      <w:r w:rsidR="00467D2B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s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between </w:t>
      </w:r>
      <w:r w:rsidR="00467D2B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(</w:t>
      </w:r>
      <w:r w:rsidR="00467D2B"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>a</w:t>
      </w:r>
      <w:r w:rsidR="00467D2B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)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RS-</w:t>
      </w:r>
      <w:r w:rsidRPr="005E595A"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  <w:t>r</w:t>
      </w:r>
      <w:r w:rsidRPr="005E595A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eastAsia="de-DE"/>
        </w:rPr>
        <w:t>JV25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and</w:t>
      </w:r>
      <w:r w:rsidR="00467D2B" w:rsidRPr="005E595A"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  <w:t xml:space="preserve"> T</w:t>
      </w:r>
      <w:r w:rsidR="00467D2B" w:rsidRPr="005E595A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eastAsia="de-DE"/>
        </w:rPr>
        <w:t>g</w:t>
      </w:r>
      <w:r w:rsidR="00467D2B"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 xml:space="preserve"> and between </w:t>
      </w:r>
      <w:r w:rsidR="00467D2B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(</w:t>
      </w:r>
      <w:r w:rsidR="00467D2B"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>b</w:t>
      </w:r>
      <w:r w:rsidR="00467D2B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) </w:t>
      </w:r>
      <w:r w:rsidR="00467D2B" w:rsidRPr="005E595A"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  <w:t>r</w:t>
      </w:r>
      <w:r w:rsidR="00467D2B" w:rsidRPr="005E595A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eastAsia="de-DE"/>
        </w:rPr>
        <w:t>JV25</w:t>
      </w:r>
      <w:r w:rsidR="00467D2B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from the global observation dataset and</w:t>
      </w:r>
      <w:r w:rsidR="00467D2B" w:rsidRPr="005E595A"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  <w:t xml:space="preserve"> T</w:t>
      </w:r>
      <w:r w:rsidR="00467D2B" w:rsidRPr="005E595A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eastAsia="de-DE"/>
        </w:rPr>
        <w:t>g</w:t>
      </w:r>
      <w:r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 xml:space="preserve">. </w:t>
      </w:r>
      <w:r w:rsidR="00D53E7D"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>The blue dashed lines are the exponential empirical relationships, and t</w:t>
      </w:r>
      <w:r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>he</w:t>
      </w:r>
      <w:r w:rsidR="00467D2B"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 xml:space="preserve"> red</w:t>
      </w:r>
      <w:r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 xml:space="preserve"> dashed line</w:t>
      </w:r>
      <w:r w:rsidR="00467D2B"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>s</w:t>
      </w:r>
      <w:r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 xml:space="preserve"> </w:t>
      </w:r>
      <w:r w:rsidR="00467D2B"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>are</w:t>
      </w:r>
      <w:r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 xml:space="preserve"> </w:t>
      </w:r>
      <w:r w:rsidR="00D53E7D"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 xml:space="preserve">the linear </w:t>
      </w:r>
      <w:r w:rsidR="00E94544"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>one</w:t>
      </w:r>
      <w:r w:rsidR="00D53E7D"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>s</w:t>
      </w:r>
      <w:r w:rsidR="00125BD8"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>.</w:t>
      </w:r>
    </w:p>
    <w:p w14:paraId="6FE104EA" w14:textId="77777777" w:rsidR="008A463F" w:rsidRPr="005E595A" w:rsidRDefault="008A463F" w:rsidP="008A463F">
      <w:pPr>
        <w:spacing w:line="480" w:lineRule="auto"/>
        <w:rPr>
          <w:rFonts w:ascii="Times New Roman" w:hAnsi="Times New Roman" w:cs="Times New Roman"/>
          <w:noProof/>
          <w:lang w:val="en-GB"/>
        </w:rPr>
      </w:pPr>
    </w:p>
    <w:p w14:paraId="2F17668A" w14:textId="02AA0104" w:rsidR="00271940" w:rsidRPr="005E595A" w:rsidRDefault="00271940" w:rsidP="00C638D7">
      <w:pPr>
        <w:spacing w:line="480" w:lineRule="auto"/>
        <w:ind w:leftChars="-675" w:left="-1418"/>
        <w:rPr>
          <w:rFonts w:ascii="Times New Roman" w:hAnsi="Times New Roman" w:cs="Times New Roman"/>
        </w:rPr>
      </w:pPr>
      <w:r w:rsidRPr="005E595A">
        <w:rPr>
          <w:rFonts w:ascii="Times New Roman" w:hAnsi="Times New Roman" w:cs="Times New Roman"/>
          <w:noProof/>
        </w:rPr>
        <w:drawing>
          <wp:inline distT="0" distB="0" distL="0" distR="0" wp14:anchorId="27FB2737" wp14:editId="65BC62A8">
            <wp:extent cx="7039020" cy="2717779"/>
            <wp:effectExtent l="0" t="0" r="0" b="6985"/>
            <wp:docPr id="1924108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08480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020" cy="27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2C10" w14:textId="69C2793B" w:rsidR="00271940" w:rsidRPr="005E595A" w:rsidRDefault="00271940" w:rsidP="00C638D7">
      <w:pPr>
        <w:widowControl/>
        <w:spacing w:line="480" w:lineRule="auto"/>
        <w:rPr>
          <w:rFonts w:ascii="Times New Roman" w:eastAsia="Times New Roman" w:hAnsi="Times New Roman" w:cs="Times New Roman"/>
          <w:iCs/>
          <w:kern w:val="0"/>
          <w:sz w:val="20"/>
          <w:szCs w:val="20"/>
          <w:lang w:val="en-GB" w:eastAsia="de-DE"/>
          <w14:ligatures w14:val="none"/>
        </w:rPr>
      </w:pPr>
      <w:r w:rsidRPr="005E59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GB" w:eastAsia="de-DE"/>
          <w14:ligatures w14:val="none"/>
        </w:rPr>
        <w:t>Fig. S</w:t>
      </w:r>
      <w:r w:rsidR="008A463F" w:rsidRPr="005E59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GB" w:eastAsia="de-DE"/>
          <w14:ligatures w14:val="none"/>
        </w:rPr>
        <w:t>2</w:t>
      </w:r>
      <w:r w:rsidRPr="005E59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GB" w:eastAsia="de-DE"/>
          <w14:ligatures w14:val="none"/>
        </w:rPr>
        <w:t xml:space="preserve">. </w:t>
      </w:r>
      <w:r w:rsidR="00380113"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 xml:space="preserve">(a) </w:t>
      </w:r>
      <w:r w:rsidR="00380113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and</w:t>
      </w:r>
      <w:r w:rsidR="00380113"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 xml:space="preserve"> (d) </w:t>
      </w:r>
      <w:r w:rsidR="00380113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Global distributions of simulated</w:t>
      </w:r>
      <w:r w:rsidR="00380113" w:rsidRPr="005E595A">
        <w:rPr>
          <w:rFonts w:ascii="Times New Roman" w:eastAsia="Times New Roman" w:hAnsi="Times New Roman" w:cs="Times New Roman"/>
          <w:i/>
          <w:sz w:val="20"/>
          <w:szCs w:val="20"/>
          <w:lang w:val="en-GB" w:eastAsia="de-DE"/>
        </w:rPr>
        <w:t xml:space="preserve"> V</w:t>
      </w:r>
      <w:r w:rsidR="00380113" w:rsidRPr="005E595A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en-GB" w:eastAsia="de-DE"/>
        </w:rPr>
        <w:t>cmax25</w:t>
      </w:r>
      <w:r w:rsidR="00380113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of Scheme 4 at DOY 273 and 361, respectively; </w:t>
      </w:r>
      <w:r w:rsidR="00380113"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>(b)</w:t>
      </w:r>
      <w:r w:rsidR="00380113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and</w:t>
      </w:r>
      <w:r w:rsidR="00380113"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 xml:space="preserve"> (e)</w:t>
      </w:r>
      <w:r w:rsidR="00380113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Global distributions of </w:t>
      </w:r>
      <w:r w:rsidR="00380113" w:rsidRPr="005E595A">
        <w:rPr>
          <w:rFonts w:ascii="Times New Roman" w:hAnsi="Times New Roman" w:cs="Times New Roman"/>
          <w:sz w:val="20"/>
          <w:szCs w:val="20"/>
          <w:lang w:val="en-GB"/>
        </w:rPr>
        <w:t>Δ</w:t>
      </w:r>
      <w:r w:rsidR="00380113" w:rsidRPr="005E595A">
        <w:rPr>
          <w:rFonts w:ascii="Times New Roman" w:eastAsia="Times New Roman" w:hAnsi="Times New Roman" w:cs="Times New Roman"/>
          <w:i/>
          <w:sz w:val="20"/>
          <w:szCs w:val="20"/>
          <w:lang w:val="en-GB" w:eastAsia="de-DE"/>
        </w:rPr>
        <w:t>V</w:t>
      </w:r>
      <w:r w:rsidR="00380113" w:rsidRPr="005E595A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en-GB" w:eastAsia="de-DE"/>
        </w:rPr>
        <w:t>cmax25</w:t>
      </w:r>
      <w:r w:rsidR="00380113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relative to Scheme 4 at DOY 273 and 361, respectively; </w:t>
      </w:r>
      <w:r w:rsidR="00380113"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>(c)</w:t>
      </w:r>
      <w:r w:rsidR="00380113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and</w:t>
      </w:r>
      <w:r w:rsidR="00380113"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 xml:space="preserve"> (f)</w:t>
      </w:r>
      <w:r w:rsidR="00380113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Sensitivity of </w:t>
      </w:r>
      <w:r w:rsidR="00380113" w:rsidRPr="005E595A">
        <w:rPr>
          <w:rFonts w:ascii="Times New Roman" w:hAnsi="Times New Roman" w:cs="Times New Roman"/>
          <w:sz w:val="20"/>
          <w:szCs w:val="20"/>
          <w:lang w:val="en-GB"/>
        </w:rPr>
        <w:t>Δ</w:t>
      </w:r>
      <w:r w:rsidR="00380113" w:rsidRPr="005E595A">
        <w:rPr>
          <w:rFonts w:ascii="Times New Roman" w:eastAsia="Times New Roman" w:hAnsi="Times New Roman" w:cs="Times New Roman"/>
          <w:i/>
          <w:sz w:val="20"/>
          <w:szCs w:val="20"/>
          <w:lang w:val="en-GB" w:eastAsia="de-DE"/>
        </w:rPr>
        <w:t>V</w:t>
      </w:r>
      <w:r w:rsidR="00380113" w:rsidRPr="005E595A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en-GB" w:eastAsia="de-DE"/>
        </w:rPr>
        <w:t>cmax25</w:t>
      </w:r>
      <w:r w:rsidR="00380113"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 to variations in </w:t>
      </w:r>
      <m:oMath>
        <m:r>
          <w:rPr>
            <w:rFonts w:ascii="Cambria Math" w:hAnsi="Cambria Math"/>
            <w:szCs w:val="20"/>
          </w:rPr>
          <m:t>α</m:t>
        </m:r>
      </m:oMath>
      <w:r w:rsidR="00380113" w:rsidRPr="005E595A">
        <w:rPr>
          <w:rFonts w:ascii="Times New Roman" w:hAnsi="Times New Roman" w:cs="Times New Roman"/>
          <w:sz w:val="20"/>
          <w:szCs w:val="20"/>
        </w:rPr>
        <w:t xml:space="preserve"> in different regions at DOY </w:t>
      </w:r>
      <w:r w:rsidR="00380113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273 and 361, respectively</w:t>
      </w:r>
      <w:r w:rsidR="00380113" w:rsidRPr="005E595A">
        <w:rPr>
          <w:rFonts w:ascii="Times New Roman" w:hAnsi="Times New Roman" w:cs="Times New Roman"/>
          <w:sz w:val="20"/>
          <w:szCs w:val="20"/>
        </w:rPr>
        <w:t xml:space="preserve">. </w:t>
      </w:r>
      <w:r w:rsidR="00380113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The global maps</w:t>
      </w:r>
      <w:r w:rsidR="00380113"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 xml:space="preserve"> </w:t>
      </w:r>
      <w:r w:rsidR="00380113" w:rsidRPr="005E595A">
        <w:rPr>
          <w:rFonts w:ascii="Times New Roman" w:hAnsi="Times New Roman" w:cs="Times New Roman"/>
          <w:sz w:val="20"/>
          <w:szCs w:val="20"/>
        </w:rPr>
        <w:t xml:space="preserve">only </w:t>
      </w:r>
      <w:r w:rsidR="00380113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show areas with positive estimates</w:t>
      </w:r>
      <w:r w:rsidR="00380113"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, while the other areas are in blank. </w:t>
      </w:r>
      <w:r w:rsidRPr="005E595A">
        <w:rPr>
          <w:rFonts w:ascii="Times New Roman" w:eastAsia="Times New Roman" w:hAnsi="Times New Roman" w:cs="Times New Roman"/>
          <w:iCs/>
          <w:kern w:val="0"/>
          <w:sz w:val="20"/>
          <w:szCs w:val="20"/>
          <w:lang w:val="en-GB" w:eastAsia="de-DE"/>
          <w14:ligatures w14:val="none"/>
        </w:rPr>
        <w:t xml:space="preserve"> </w:t>
      </w:r>
    </w:p>
    <w:p w14:paraId="542EC04C" w14:textId="77777777" w:rsidR="004517A1" w:rsidRPr="005E595A" w:rsidRDefault="004517A1" w:rsidP="00C638D7">
      <w:pPr>
        <w:widowControl/>
        <w:spacing w:line="480" w:lineRule="auto"/>
        <w:rPr>
          <w:rFonts w:ascii="Times New Roman" w:eastAsia="Times New Roman" w:hAnsi="Times New Roman" w:cs="Times New Roman"/>
          <w:iCs/>
          <w:kern w:val="0"/>
          <w:sz w:val="20"/>
          <w:szCs w:val="20"/>
          <w:lang w:val="en-GB" w:eastAsia="de-DE"/>
          <w14:ligatures w14:val="none"/>
        </w:rPr>
      </w:pPr>
    </w:p>
    <w:p w14:paraId="6885F56A" w14:textId="3C8B420E" w:rsidR="004517A1" w:rsidRPr="005E595A" w:rsidRDefault="00C638D7" w:rsidP="00EC1622">
      <w:pPr>
        <w:widowControl/>
        <w:spacing w:line="480" w:lineRule="auto"/>
        <w:ind w:leftChars="-607" w:left="-1275"/>
        <w:rPr>
          <w:rFonts w:ascii="Times New Roman" w:hAnsi="Times New Roman" w:cs="Times New Roman"/>
          <w:iCs/>
          <w:kern w:val="0"/>
          <w:sz w:val="20"/>
          <w:szCs w:val="20"/>
          <w:lang w:val="en-GB"/>
          <w14:ligatures w14:val="none"/>
        </w:rPr>
      </w:pPr>
      <w:r w:rsidRPr="005E595A">
        <w:rPr>
          <w:rFonts w:ascii="Times New Roman" w:hAnsi="Times New Roman" w:cs="Times New Roman"/>
          <w:iCs/>
          <w:noProof/>
          <w:kern w:val="0"/>
          <w:sz w:val="20"/>
          <w:szCs w:val="20"/>
          <w:lang w:val="en-GB"/>
        </w:rPr>
        <w:lastRenderedPageBreak/>
        <w:drawing>
          <wp:inline distT="0" distB="0" distL="0" distR="0" wp14:anchorId="4571E32F" wp14:editId="5CA7DD46">
            <wp:extent cx="6979938" cy="1474253"/>
            <wp:effectExtent l="0" t="0" r="0" b="0"/>
            <wp:docPr id="2314825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82510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38" cy="14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71C0" w14:textId="08A22E13" w:rsidR="00271940" w:rsidRPr="005E595A" w:rsidRDefault="00C638D7" w:rsidP="00C638D7">
      <w:pPr>
        <w:spacing w:line="48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de-DE"/>
          <w14:ligatures w14:val="none"/>
        </w:rPr>
      </w:pPr>
      <w:r w:rsidRPr="005E59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GB" w:eastAsia="de-DE"/>
          <w14:ligatures w14:val="none"/>
        </w:rPr>
        <w:t>Fig. S</w:t>
      </w:r>
      <w:r w:rsidR="008A463F" w:rsidRPr="005E59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GB" w:eastAsia="de-DE"/>
          <w14:ligatures w14:val="none"/>
        </w:rPr>
        <w:t>3</w:t>
      </w:r>
      <w:r w:rsidRPr="005E59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GB" w:eastAsia="de-DE"/>
          <w14:ligatures w14:val="none"/>
        </w:rPr>
        <w:t xml:space="preserve">. </w:t>
      </w:r>
      <w:r w:rsidR="00BB786D" w:rsidRPr="005E595A">
        <w:rPr>
          <w:rFonts w:ascii="Times New Roman" w:eastAsia="Times New Roman" w:hAnsi="Times New Roman" w:cs="Times New Roman"/>
          <w:kern w:val="0"/>
          <w:sz w:val="20"/>
          <w:szCs w:val="20"/>
          <w:lang w:val="en-GB" w:eastAsia="de-DE"/>
          <w14:ligatures w14:val="none"/>
        </w:rPr>
        <w:t>Averaged</w:t>
      </w:r>
      <w:r w:rsidRPr="005E595A">
        <w:rPr>
          <w:rFonts w:ascii="Times New Roman" w:eastAsia="Times New Roman" w:hAnsi="Times New Roman" w:cs="Times New Roman"/>
          <w:kern w:val="0"/>
          <w:sz w:val="20"/>
          <w:szCs w:val="20"/>
          <w:lang w:val="en-GB" w:eastAsia="de-DE"/>
          <w14:ligatures w14:val="none"/>
        </w:rPr>
        <w:t xml:space="preserve"> </w:t>
      </w:r>
      <w:r w:rsidRPr="005E59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GB" w:eastAsia="de-DE"/>
          <w14:ligatures w14:val="none"/>
        </w:rPr>
        <w:t xml:space="preserve">(a) </w:t>
      </w:r>
      <w:r w:rsidRPr="005E595A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GB" w:eastAsia="de-DE"/>
          <w14:ligatures w14:val="none"/>
        </w:rPr>
        <w:t>I</w:t>
      </w:r>
      <w:r w:rsidR="00EC1622" w:rsidRPr="005E595A">
        <w:rPr>
          <w:rFonts w:ascii="Times New Roman" w:eastAsia="Times New Roman" w:hAnsi="Times New Roman" w:cs="Times New Roman"/>
          <w:kern w:val="0"/>
          <w:sz w:val="20"/>
          <w:szCs w:val="20"/>
          <w:lang w:val="en-GB" w:eastAsia="de-DE"/>
          <w14:ligatures w14:val="none"/>
        </w:rPr>
        <w:t xml:space="preserve"> and </w:t>
      </w:r>
      <w:r w:rsidRPr="005E59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GB" w:eastAsia="de-DE"/>
          <w14:ligatures w14:val="none"/>
        </w:rPr>
        <w:t xml:space="preserve">(b) </w:t>
      </w:r>
      <w:r w:rsidRPr="005E595A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GB" w:eastAsia="de-DE"/>
          <w14:ligatures w14:val="none"/>
        </w:rPr>
        <w:t>D</w:t>
      </w:r>
      <w:r w:rsidRPr="005E595A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vertAlign w:val="subscript"/>
          <w:lang w:val="en-GB" w:eastAsia="de-DE"/>
          <w14:ligatures w14:val="none"/>
        </w:rPr>
        <w:t>g</w:t>
      </w:r>
      <w:r w:rsidRPr="005E59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GB" w:eastAsia="de-DE"/>
          <w14:ligatures w14:val="none"/>
        </w:rPr>
        <w:t xml:space="preserve"> </w:t>
      </w:r>
      <w:r w:rsidRPr="005E595A">
        <w:rPr>
          <w:rFonts w:ascii="Times New Roman" w:eastAsia="Times New Roman" w:hAnsi="Times New Roman" w:cs="Times New Roman"/>
          <w:kern w:val="0"/>
          <w:sz w:val="20"/>
          <w:szCs w:val="20"/>
          <w:lang w:val="en-GB" w:eastAsia="de-DE"/>
          <w14:ligatures w14:val="none"/>
        </w:rPr>
        <w:t xml:space="preserve">for different latitudinal regions used in the sensitivity test in Figs. 5 and S1. </w:t>
      </w:r>
    </w:p>
    <w:p w14:paraId="40E9B01F" w14:textId="77777777" w:rsidR="00437037" w:rsidRPr="005E595A" w:rsidRDefault="00437037" w:rsidP="00C638D7">
      <w:pPr>
        <w:spacing w:line="48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de-DE"/>
          <w14:ligatures w14:val="none"/>
        </w:rPr>
      </w:pPr>
    </w:p>
    <w:p w14:paraId="3C53FF04" w14:textId="6DFC17A5" w:rsidR="00AA5888" w:rsidRPr="005E595A" w:rsidRDefault="00634244" w:rsidP="00634244">
      <w:pPr>
        <w:spacing w:line="48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de-DE"/>
          <w14:ligatures w14:val="none"/>
        </w:rPr>
      </w:pPr>
      <w:r w:rsidRPr="005E595A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GB" w:eastAsia="de-DE"/>
        </w:rPr>
        <w:drawing>
          <wp:inline distT="0" distB="0" distL="0" distR="0" wp14:anchorId="660F6BCE" wp14:editId="2620EA15">
            <wp:extent cx="5179864" cy="3896995"/>
            <wp:effectExtent l="0" t="0" r="1905" b="8255"/>
            <wp:docPr id="12949433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43318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864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8B31" w14:textId="048CC04A" w:rsidR="00AA5888" w:rsidRPr="005E595A" w:rsidRDefault="00AA5888" w:rsidP="00C638D7">
      <w:pPr>
        <w:spacing w:line="480" w:lineRule="auto"/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</w:pPr>
      <w:r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 xml:space="preserve">Fig. S4. 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Comparisons between all field measurements </w:t>
      </w:r>
      <w:r w:rsidR="00634244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at 18 sites 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and </w:t>
      </w:r>
      <w:r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>(a)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</w:t>
      </w:r>
      <w:r w:rsidR="003F6EC7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the </w:t>
      </w:r>
      <w:r w:rsidR="000A419A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top-leaf</w:t>
      </w:r>
      <w:r w:rsidR="003F6EC7" w:rsidRPr="005E595A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GB" w:eastAsia="de-DE"/>
          <w14:ligatures w14:val="none"/>
        </w:rPr>
        <w:t xml:space="preserve"> V</w:t>
      </w:r>
      <w:r w:rsidR="003F6EC7" w:rsidRPr="005E595A">
        <w:rPr>
          <w:rFonts w:ascii="Times New Roman" w:eastAsia="Times New Roman" w:hAnsi="Times New Roman" w:cs="Times New Roman"/>
          <w:i/>
          <w:kern w:val="0"/>
          <w:sz w:val="20"/>
          <w:szCs w:val="20"/>
          <w:vertAlign w:val="subscript"/>
          <w:lang w:val="en-GB" w:eastAsia="de-DE"/>
          <w14:ligatures w14:val="none"/>
        </w:rPr>
        <w:t>cmax25</w:t>
      </w:r>
      <w:r w:rsidR="003F6EC7" w:rsidRPr="005E595A">
        <w:rPr>
          <w:rFonts w:ascii="Times New Roman" w:eastAsia="Times New Roman" w:hAnsi="Times New Roman" w:cs="Times New Roman"/>
          <w:iCs/>
          <w:kern w:val="0"/>
          <w:sz w:val="20"/>
          <w:szCs w:val="20"/>
          <w:lang w:val="en-GB" w:eastAsia="de-DE"/>
          <w14:ligatures w14:val="none"/>
        </w:rPr>
        <w:t xml:space="preserve"> simulated using Eq. 14 with leaf absorptance </w:t>
      </w:r>
      <w:r w:rsidR="003F6EC7" w:rsidRPr="005E595A">
        <w:rPr>
          <w:rFonts w:ascii="Times New Roman" w:hAnsi="Times New Roman" w:cs="Times New Roman"/>
          <w:iCs/>
          <w:kern w:val="0"/>
          <w:sz w:val="20"/>
          <w:szCs w:val="20"/>
          <w14:ligatures w14:val="none"/>
        </w:rPr>
        <w:t>(Scheme 1)</w:t>
      </w:r>
      <w:r w:rsidR="003F6EC7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, </w:t>
      </w:r>
      <w:r w:rsidR="003F6EC7"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 xml:space="preserve">(b) </w:t>
      </w:r>
      <w:r w:rsidR="00EA1115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the </w:t>
      </w:r>
      <w:r w:rsidR="000A419A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canopy-average leaf-level</w:t>
      </w:r>
      <w:r w:rsidR="00EA1115" w:rsidRPr="005E595A">
        <w:rPr>
          <w:rFonts w:ascii="Times New Roman" w:eastAsia="Times New Roman" w:hAnsi="Times New Roman" w:cs="Times New Roman"/>
          <w:i/>
          <w:sz w:val="20"/>
          <w:szCs w:val="20"/>
          <w:lang w:val="en-GB" w:eastAsia="de-DE"/>
        </w:rPr>
        <w:t xml:space="preserve"> </w:t>
      </w:r>
      <w:r w:rsidR="00ED40A2" w:rsidRPr="005E595A">
        <w:rPr>
          <w:rFonts w:ascii="Times New Roman" w:eastAsia="Times New Roman" w:hAnsi="Times New Roman" w:cs="Times New Roman"/>
          <w:i/>
          <w:sz w:val="20"/>
          <w:szCs w:val="20"/>
          <w:lang w:val="en-GB" w:eastAsia="de-DE"/>
        </w:rPr>
        <w:t>V</w:t>
      </w:r>
      <w:r w:rsidR="00ED40A2" w:rsidRPr="005E595A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en-GB" w:eastAsia="de-DE"/>
        </w:rPr>
        <w:t>cmax25</w:t>
      </w:r>
      <w:r w:rsidR="00ED40A2"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 simulated using Eq. 14 with</w:t>
      </w:r>
      <w:r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 </w:t>
      </w:r>
      <w:r w:rsidR="00634244"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>canopy</w:t>
      </w:r>
      <w:r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 absorptance</w:t>
      </w:r>
      <w:r w:rsidR="00634244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, </w:t>
      </w:r>
      <w:r w:rsidR="00634244"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>(c)</w:t>
      </w:r>
      <w:r w:rsidR="00634244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</w:t>
      </w:r>
      <w:r w:rsidR="00EA1115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the </w:t>
      </w:r>
      <w:r w:rsidR="000A419A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top-leaf</w:t>
      </w:r>
      <w:r w:rsidR="00634244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</w:t>
      </w:r>
      <w:r w:rsidR="00634244" w:rsidRPr="005E595A">
        <w:rPr>
          <w:rFonts w:ascii="Times New Roman" w:eastAsia="Times New Roman" w:hAnsi="Times New Roman" w:cs="Times New Roman"/>
          <w:i/>
          <w:sz w:val="20"/>
          <w:szCs w:val="20"/>
          <w:lang w:val="en-GB" w:eastAsia="de-DE"/>
        </w:rPr>
        <w:t>V</w:t>
      </w:r>
      <w:r w:rsidR="00634244" w:rsidRPr="005E595A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en-GB" w:eastAsia="de-DE"/>
        </w:rPr>
        <w:t>cmax25</w:t>
      </w:r>
      <w:r w:rsidR="00634244"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 converted from </w:t>
      </w:r>
      <w:r w:rsidR="00634244" w:rsidRPr="005E595A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GB" w:eastAsia="de-DE"/>
        </w:rPr>
        <w:t>(</w:t>
      </w:r>
      <w:r w:rsidR="003F6EC7" w:rsidRPr="005E595A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GB" w:eastAsia="de-DE"/>
        </w:rPr>
        <w:t>b</w:t>
      </w:r>
      <w:r w:rsidR="00634244" w:rsidRPr="005E595A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val="en-GB" w:eastAsia="de-DE"/>
        </w:rPr>
        <w:t>)</w:t>
      </w:r>
      <w:r w:rsidR="00634244"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 based on </w:t>
      </w:r>
      <w:r w:rsidR="00EA1115"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the </w:t>
      </w:r>
      <w:r w:rsidR="00634244"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empirical nitrogen vertical </w:t>
      </w:r>
      <w:r w:rsidR="00EA1115"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distribution coefficient, and </w:t>
      </w:r>
      <w:r w:rsidR="00EA1115"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>(d)</w:t>
      </w:r>
      <w:r w:rsidR="00EA1115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the </w:t>
      </w:r>
      <w:r w:rsidR="000A419A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top-leaf</w:t>
      </w:r>
      <w:r w:rsidR="00EA1115" w:rsidRPr="005E595A">
        <w:rPr>
          <w:rFonts w:ascii="Times New Roman" w:eastAsia="Times New Roman" w:hAnsi="Times New Roman" w:cs="Times New Roman"/>
          <w:i/>
          <w:sz w:val="20"/>
          <w:szCs w:val="20"/>
          <w:lang w:val="en-GB" w:eastAsia="de-DE"/>
        </w:rPr>
        <w:t xml:space="preserve"> V</w:t>
      </w:r>
      <w:r w:rsidR="00EA1115" w:rsidRPr="005E595A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en-GB" w:eastAsia="de-DE"/>
        </w:rPr>
        <w:t>cmax25</w:t>
      </w:r>
      <w:r w:rsidR="00EA1115"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 simulated using the model version in Jiang et al. (2020) with canopy absorptance and the empirical nitrogen vertical distribution coefficient</w:t>
      </w:r>
      <w:r w:rsidR="00ED40A2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. </w:t>
      </w:r>
      <w:r w:rsidR="00ED40A2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lastRenderedPageBreak/>
        <w:t xml:space="preserve">Canopy absorptance </w:t>
      </w:r>
      <w:r w:rsidR="00EA1115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and </w:t>
      </w:r>
      <w:r w:rsidR="00EA1115"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>the empirical nitrogen vertical distribution coefficient</w:t>
      </w:r>
      <w:r w:rsidR="00EA1115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</w:t>
      </w:r>
      <w:r w:rsidR="00ED40A2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w</w:t>
      </w:r>
      <w:r w:rsidR="00EA1115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ere</w:t>
      </w:r>
      <w:r w:rsidR="00ED40A2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estimated using the method in </w:t>
      </w:r>
      <w:r w:rsidR="00EA1115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Jiang</w:t>
      </w:r>
      <w:r w:rsidR="00ED40A2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et al. (202</w:t>
      </w:r>
      <w:r w:rsidR="00EA1115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0</w:t>
      </w:r>
      <w:r w:rsidR="00ED40A2" w:rsidRPr="005E595A">
        <w:rPr>
          <w:rFonts w:ascii="Times New Roman" w:eastAsia="宋体" w:hAnsi="Times New Roman" w:cs="Times New Roman"/>
          <w:sz w:val="20"/>
          <w:szCs w:val="20"/>
          <w:lang w:val="en-GB"/>
        </w:rPr>
        <w:t>).</w:t>
      </w:r>
      <w:r w:rsidR="007F7772"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 Field-measured </w:t>
      </w:r>
      <w:r w:rsidR="007F7772" w:rsidRPr="005E595A">
        <w:rPr>
          <w:rFonts w:ascii="Times New Roman" w:hAnsi="Times New Roman" w:cs="Times New Roman"/>
          <w:i/>
          <w:sz w:val="20"/>
          <w:szCs w:val="20"/>
        </w:rPr>
        <w:t>r</w:t>
      </w:r>
      <w:r w:rsidR="007F7772" w:rsidRPr="005E595A">
        <w:rPr>
          <w:rFonts w:ascii="Times New Roman" w:hAnsi="Times New Roman" w:cs="Times New Roman"/>
          <w:i/>
          <w:sz w:val="20"/>
          <w:szCs w:val="20"/>
          <w:vertAlign w:val="subscript"/>
        </w:rPr>
        <w:t>JV25</w:t>
      </w:r>
      <w:r w:rsidR="007F7772"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 xml:space="preserve"> was adopted in </w:t>
      </w:r>
      <w:r w:rsidR="007F7772" w:rsidRPr="005E595A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eastAsia="de-DE"/>
        </w:rPr>
        <w:t>(a)</w:t>
      </w:r>
      <w:r w:rsidR="007F7772"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 xml:space="preserve"> </w:t>
      </w:r>
      <w:r w:rsidR="003F6EC7"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>-</w:t>
      </w:r>
      <w:r w:rsidR="007F7772"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 xml:space="preserve"> </w:t>
      </w:r>
      <w:r w:rsidR="007F7772" w:rsidRPr="005E595A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eastAsia="de-DE"/>
        </w:rPr>
        <w:t>(</w:t>
      </w:r>
      <w:r w:rsidR="00EA1115" w:rsidRPr="005E595A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eastAsia="de-DE"/>
        </w:rPr>
        <w:t>c</w:t>
      </w:r>
      <w:r w:rsidR="007F7772" w:rsidRPr="005E595A">
        <w:rPr>
          <w:rFonts w:ascii="Times New Roman" w:eastAsia="Times New Roman" w:hAnsi="Times New Roman" w:cs="Times New Roman"/>
          <w:b/>
          <w:bCs/>
          <w:iCs/>
          <w:sz w:val="20"/>
          <w:szCs w:val="20"/>
          <w:lang w:eastAsia="de-DE"/>
        </w:rPr>
        <w:t>)</w:t>
      </w:r>
      <w:r w:rsidR="007F7772"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 xml:space="preserve">. 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The red lines are the regression lines, and the black dash lines are the 1:1 lines.</w:t>
      </w:r>
    </w:p>
    <w:p w14:paraId="14145E42" w14:textId="77777777" w:rsidR="00437037" w:rsidRPr="005E595A" w:rsidRDefault="00437037" w:rsidP="00437037">
      <w:pPr>
        <w:spacing w:line="48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de-DE"/>
          <w14:ligatures w14:val="none"/>
        </w:rPr>
      </w:pPr>
    </w:p>
    <w:p w14:paraId="6C70CBE9" w14:textId="77777777" w:rsidR="00437037" w:rsidRPr="005E595A" w:rsidRDefault="00437037" w:rsidP="00437037">
      <w:pPr>
        <w:spacing w:line="48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de-DE"/>
          <w14:ligatures w14:val="none"/>
        </w:rPr>
      </w:pPr>
      <w:r w:rsidRPr="005E595A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GB" w:eastAsia="de-DE"/>
        </w:rPr>
        <w:drawing>
          <wp:inline distT="0" distB="0" distL="0" distR="0" wp14:anchorId="76D9C5EC" wp14:editId="43ECD40E">
            <wp:extent cx="5179864" cy="3832348"/>
            <wp:effectExtent l="0" t="0" r="1905" b="0"/>
            <wp:docPr id="551319607" name="图片 551319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19607" name="图片 5513196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864" cy="38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A3DA" w14:textId="607691B4" w:rsidR="00437037" w:rsidRPr="005E595A" w:rsidRDefault="00437037" w:rsidP="00437037">
      <w:pPr>
        <w:spacing w:line="480" w:lineRule="auto"/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</w:pPr>
      <w:r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 xml:space="preserve">Fig. S5. 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Comparisons between all field measurements at 18 sites and </w:t>
      </w:r>
      <w:r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>(a)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</w:t>
      </w:r>
      <w:r w:rsidRPr="005E595A">
        <w:rPr>
          <w:rFonts w:ascii="Times New Roman" w:eastAsia="Times New Roman" w:hAnsi="Times New Roman" w:cs="Times New Roman"/>
          <w:i/>
          <w:kern w:val="0"/>
          <w:sz w:val="20"/>
          <w:szCs w:val="20"/>
          <w:lang w:val="en-GB" w:eastAsia="de-DE"/>
          <w14:ligatures w14:val="none"/>
        </w:rPr>
        <w:t>V</w:t>
      </w:r>
      <w:r w:rsidRPr="005E595A">
        <w:rPr>
          <w:rFonts w:ascii="Times New Roman" w:eastAsia="Times New Roman" w:hAnsi="Times New Roman" w:cs="Times New Roman"/>
          <w:i/>
          <w:kern w:val="0"/>
          <w:sz w:val="20"/>
          <w:szCs w:val="20"/>
          <w:vertAlign w:val="subscript"/>
          <w:lang w:val="en-GB" w:eastAsia="de-DE"/>
          <w14:ligatures w14:val="none"/>
        </w:rPr>
        <w:t>cmax25</w:t>
      </w:r>
      <w:r w:rsidRPr="005E595A">
        <w:rPr>
          <w:rFonts w:ascii="Times New Roman" w:eastAsia="Times New Roman" w:hAnsi="Times New Roman" w:cs="Times New Roman"/>
          <w:iCs/>
          <w:kern w:val="0"/>
          <w:sz w:val="20"/>
          <w:szCs w:val="20"/>
          <w:lang w:val="en-GB" w:eastAsia="de-DE"/>
          <w14:ligatures w14:val="none"/>
        </w:rPr>
        <w:t xml:space="preserve"> simulated using Eq. 14 </w:t>
      </w:r>
      <w:r w:rsidRPr="005E595A">
        <w:rPr>
          <w:rFonts w:ascii="Times New Roman" w:hAnsi="Times New Roman" w:cs="Times New Roman"/>
          <w:iCs/>
          <w:kern w:val="0"/>
          <w:sz w:val="20"/>
          <w:szCs w:val="20"/>
          <w14:ligatures w14:val="none"/>
        </w:rPr>
        <w:t>(Scheme 1)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, </w:t>
      </w:r>
      <w:r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 xml:space="preserve">(b) </w:t>
      </w:r>
      <w:r w:rsidRPr="005E595A">
        <w:rPr>
          <w:rFonts w:ascii="Times New Roman" w:eastAsia="Times New Roman" w:hAnsi="Times New Roman" w:cs="Times New Roman"/>
          <w:i/>
          <w:sz w:val="20"/>
          <w:szCs w:val="20"/>
          <w:lang w:val="en-GB" w:eastAsia="de-DE"/>
        </w:rPr>
        <w:t>V</w:t>
      </w:r>
      <w:r w:rsidRPr="005E595A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en-GB" w:eastAsia="de-DE"/>
        </w:rPr>
        <w:t>cmax25</w:t>
      </w:r>
      <w:r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 simulated using the model version in Smith et al. (2019)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, </w:t>
      </w:r>
      <w:r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>(c)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</w:t>
      </w:r>
      <w:r w:rsidRPr="005E595A">
        <w:rPr>
          <w:rFonts w:ascii="Times New Roman" w:eastAsia="Times New Roman" w:hAnsi="Times New Roman" w:cs="Times New Roman"/>
          <w:i/>
          <w:sz w:val="20"/>
          <w:szCs w:val="20"/>
          <w:lang w:val="en-GB" w:eastAsia="de-DE"/>
        </w:rPr>
        <w:t>V</w:t>
      </w:r>
      <w:r w:rsidRPr="005E595A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en-GB" w:eastAsia="de-DE"/>
        </w:rPr>
        <w:t>cmax25</w:t>
      </w:r>
      <w:r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 simulated using the model version in </w:t>
      </w:r>
      <w:r w:rsidR="00A51DBF"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>Jiang</w:t>
      </w:r>
      <w:r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 et al. (20</w:t>
      </w:r>
      <w:r w:rsidR="00A51DBF"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>20</w:t>
      </w:r>
      <w:r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), and </w:t>
      </w:r>
      <w:r w:rsidRPr="005E595A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de-DE"/>
        </w:rPr>
        <w:t>(d)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</w:t>
      </w:r>
      <w:r w:rsidRPr="005E595A">
        <w:rPr>
          <w:rFonts w:ascii="Times New Roman" w:eastAsia="Times New Roman" w:hAnsi="Times New Roman" w:cs="Times New Roman"/>
          <w:i/>
          <w:sz w:val="20"/>
          <w:szCs w:val="20"/>
          <w:lang w:val="en-GB" w:eastAsia="de-DE"/>
        </w:rPr>
        <w:t>V</w:t>
      </w:r>
      <w:r w:rsidRPr="005E595A">
        <w:rPr>
          <w:rFonts w:ascii="Times New Roman" w:eastAsia="Times New Roman" w:hAnsi="Times New Roman" w:cs="Times New Roman"/>
          <w:i/>
          <w:sz w:val="20"/>
          <w:szCs w:val="20"/>
          <w:vertAlign w:val="subscript"/>
          <w:lang w:val="en-GB" w:eastAsia="de-DE"/>
        </w:rPr>
        <w:t>cmax25</w:t>
      </w:r>
      <w:r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 simulated using the model version in Peng et al. (2021)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. All inputs for the four simulations were the same</w:t>
      </w:r>
      <w:r w:rsidR="00992757"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,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 xml:space="preserve"> except that Scheme 1 adopted f</w:t>
      </w:r>
      <w:r w:rsidRPr="005E595A">
        <w:rPr>
          <w:rFonts w:ascii="Times New Roman" w:eastAsia="Times New Roman" w:hAnsi="Times New Roman" w:cs="Times New Roman"/>
          <w:iCs/>
          <w:sz w:val="20"/>
          <w:szCs w:val="20"/>
          <w:lang w:val="en-GB" w:eastAsia="de-DE"/>
        </w:rPr>
        <w:t xml:space="preserve">ield-measured </w:t>
      </w:r>
      <w:r w:rsidRPr="005E595A">
        <w:rPr>
          <w:rFonts w:ascii="Times New Roman" w:hAnsi="Times New Roman" w:cs="Times New Roman"/>
          <w:i/>
          <w:sz w:val="20"/>
          <w:szCs w:val="20"/>
        </w:rPr>
        <w:t>r</w:t>
      </w:r>
      <w:r w:rsidRPr="005E595A">
        <w:rPr>
          <w:rFonts w:ascii="Times New Roman" w:hAnsi="Times New Roman" w:cs="Times New Roman"/>
          <w:i/>
          <w:sz w:val="20"/>
          <w:szCs w:val="20"/>
          <w:vertAlign w:val="subscript"/>
        </w:rPr>
        <w:t>JV25</w:t>
      </w:r>
      <w:r w:rsidRPr="005E595A">
        <w:rPr>
          <w:rFonts w:ascii="Times New Roman" w:eastAsia="Times New Roman" w:hAnsi="Times New Roman" w:cs="Times New Roman"/>
          <w:iCs/>
          <w:sz w:val="20"/>
          <w:szCs w:val="20"/>
          <w:lang w:eastAsia="de-DE"/>
        </w:rPr>
        <w:t xml:space="preserve">. </w:t>
      </w:r>
      <w:r w:rsidRPr="005E595A">
        <w:rPr>
          <w:rFonts w:ascii="Times New Roman" w:eastAsia="Times New Roman" w:hAnsi="Times New Roman" w:cs="Times New Roman"/>
          <w:sz w:val="20"/>
          <w:szCs w:val="20"/>
          <w:lang w:val="en-GB" w:eastAsia="de-DE"/>
        </w:rPr>
        <w:t>The red lines are the regression lines, and the black dash lines are the 1:1 lines.</w:t>
      </w:r>
    </w:p>
    <w:p w14:paraId="04211A27" w14:textId="4F9EA069" w:rsidR="00A26316" w:rsidRPr="005E595A" w:rsidRDefault="00A26316" w:rsidP="00C638D7">
      <w:pPr>
        <w:spacing w:line="48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137CC5DF" w14:textId="77777777" w:rsidR="00A26316" w:rsidRPr="005E595A" w:rsidRDefault="00A26316">
      <w:pPr>
        <w:widowControl/>
        <w:jc w:val="left"/>
        <w:rPr>
          <w:rFonts w:ascii="Times New Roman" w:hAnsi="Times New Roman" w:cs="Times New Roman"/>
          <w:sz w:val="20"/>
          <w:szCs w:val="20"/>
          <w:lang w:val="en-GB"/>
        </w:rPr>
      </w:pPr>
      <w:r w:rsidRPr="005E595A">
        <w:rPr>
          <w:rFonts w:ascii="Times New Roman" w:hAnsi="Times New Roman" w:cs="Times New Roman"/>
          <w:sz w:val="20"/>
          <w:szCs w:val="20"/>
          <w:lang w:val="en-GB"/>
        </w:rPr>
        <w:br w:type="page"/>
      </w:r>
    </w:p>
    <w:p w14:paraId="2B13CA61" w14:textId="77777777" w:rsidR="00A26316" w:rsidRPr="005E595A" w:rsidRDefault="00A26316" w:rsidP="00A26316">
      <w:pPr>
        <w:pStyle w:val="2"/>
        <w:spacing w:before="0" w:after="0" w:line="480" w:lineRule="auto"/>
        <w:ind w:left="720" w:hanging="720"/>
        <w:jc w:val="both"/>
        <w:rPr>
          <w:rFonts w:ascii="Times New Roman" w:hAnsi="Times New Roman" w:cs="Times New Roman"/>
          <w:b w:val="0"/>
          <w:bCs/>
          <w:iCs w:val="0"/>
          <w:sz w:val="20"/>
          <w:szCs w:val="20"/>
          <w:lang w:val="en-GB" w:eastAsia="de-DE"/>
        </w:rPr>
      </w:pPr>
      <w:bookmarkStart w:id="2" w:name="_Hlk102139621"/>
      <w:r w:rsidRPr="005E595A">
        <w:rPr>
          <w:rFonts w:ascii="Times New Roman" w:hAnsi="Times New Roman" w:cs="Times New Roman"/>
          <w:bCs/>
          <w:iCs w:val="0"/>
          <w:sz w:val="20"/>
          <w:szCs w:val="20"/>
          <w:lang w:val="en-GB" w:eastAsia="de-DE"/>
        </w:rPr>
        <w:lastRenderedPageBreak/>
        <w:t>References</w:t>
      </w:r>
    </w:p>
    <w:bookmarkEnd w:id="2"/>
    <w:p w14:paraId="276F1850" w14:textId="77777777" w:rsidR="00A26316" w:rsidRPr="005E595A" w:rsidRDefault="00A26316" w:rsidP="00A26316">
      <w:pPr>
        <w:spacing w:line="480" w:lineRule="auto"/>
        <w:ind w:left="200" w:hangingChars="100" w:hanging="200"/>
        <w:rPr>
          <w:rFonts w:ascii="Times New Roman" w:hAnsi="Times New Roman" w:cs="Times New Roman"/>
          <w:sz w:val="20"/>
          <w:szCs w:val="20"/>
        </w:rPr>
      </w:pPr>
      <w:r w:rsidRPr="005E595A">
        <w:rPr>
          <w:rFonts w:ascii="Times New Roman" w:hAnsi="Times New Roman" w:cs="Times New Roman"/>
          <w:sz w:val="20"/>
          <w:szCs w:val="20"/>
        </w:rPr>
        <w:t>Arellano, P., Tansey, K., Balzter, H., &amp; Boyd, D. S. (2017a). Field spectroscopy and radiative transfer modelling to assess impacts of petroleum pollution on biophysical and biochemical parameters of the Amazon rainforest.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Environmental Earth Sciences</w:t>
      </w:r>
      <w:r w:rsidRPr="005E595A">
        <w:rPr>
          <w:rFonts w:ascii="Times New Roman" w:hAnsi="Times New Roman" w:cs="Times New Roman"/>
          <w:sz w:val="20"/>
          <w:szCs w:val="20"/>
        </w:rPr>
        <w:t>,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76</w:t>
      </w:r>
      <w:r w:rsidRPr="005E595A">
        <w:rPr>
          <w:rFonts w:ascii="Times New Roman" w:hAnsi="Times New Roman" w:cs="Times New Roman"/>
          <w:sz w:val="20"/>
          <w:szCs w:val="20"/>
        </w:rPr>
        <w:t>, 1-14.</w:t>
      </w:r>
    </w:p>
    <w:p w14:paraId="6C047E7D" w14:textId="77777777" w:rsidR="00A26316" w:rsidRPr="005E595A" w:rsidRDefault="00A26316" w:rsidP="00A26316">
      <w:pPr>
        <w:spacing w:line="480" w:lineRule="auto"/>
        <w:ind w:left="200" w:hangingChars="100" w:hanging="200"/>
        <w:rPr>
          <w:rFonts w:ascii="Times New Roman" w:hAnsi="Times New Roman" w:cs="Times New Roman"/>
          <w:sz w:val="20"/>
          <w:szCs w:val="20"/>
        </w:rPr>
      </w:pPr>
      <w:r w:rsidRPr="005E595A">
        <w:rPr>
          <w:rFonts w:ascii="Times New Roman" w:hAnsi="Times New Roman" w:cs="Times New Roman"/>
          <w:sz w:val="20"/>
          <w:szCs w:val="20"/>
        </w:rPr>
        <w:t>Arellano, P., Tansey, K., Balzter, H., &amp; Tellkamp, M. (2017b). Plant family-specific impacts of petroleum pollution on biodiversity and leaf chlorophyll content in the Amazon rainforest of Ecuador.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PloS one</w:t>
      </w:r>
      <w:r w:rsidRPr="005E595A">
        <w:rPr>
          <w:rFonts w:ascii="Times New Roman" w:hAnsi="Times New Roman" w:cs="Times New Roman"/>
          <w:sz w:val="20"/>
          <w:szCs w:val="20"/>
        </w:rPr>
        <w:t>,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12</w:t>
      </w:r>
      <w:r w:rsidRPr="005E595A">
        <w:rPr>
          <w:rFonts w:ascii="Times New Roman" w:hAnsi="Times New Roman" w:cs="Times New Roman"/>
          <w:sz w:val="20"/>
          <w:szCs w:val="20"/>
        </w:rPr>
        <w:t>(1), e0169867.</w:t>
      </w:r>
    </w:p>
    <w:p w14:paraId="64EA35EE" w14:textId="77777777" w:rsidR="00A26316" w:rsidRPr="005E595A" w:rsidRDefault="00A26316" w:rsidP="00A26316">
      <w:pPr>
        <w:spacing w:line="480" w:lineRule="auto"/>
        <w:ind w:left="200" w:hangingChars="100" w:hanging="200"/>
        <w:rPr>
          <w:rFonts w:ascii="Times New Roman" w:hAnsi="Times New Roman" w:cs="Times New Roman"/>
          <w:sz w:val="20"/>
          <w:szCs w:val="20"/>
        </w:rPr>
      </w:pPr>
      <w:r w:rsidRPr="005E595A">
        <w:rPr>
          <w:rFonts w:ascii="Times New Roman" w:hAnsi="Times New Roman" w:cs="Times New Roman"/>
          <w:sz w:val="20"/>
          <w:szCs w:val="20"/>
        </w:rPr>
        <w:t>Darvishzadeh, R., Skidmore, A., Schlerf, M., &amp; Atzberger, C. (2008). Inversion of a radiative transfer model for estimating vegetation LAI and chlorophyll in a heterogeneous grassland.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Remote sensing of environment</w:t>
      </w:r>
      <w:r w:rsidRPr="005E595A">
        <w:rPr>
          <w:rFonts w:ascii="Times New Roman" w:hAnsi="Times New Roman" w:cs="Times New Roman"/>
          <w:sz w:val="20"/>
          <w:szCs w:val="20"/>
        </w:rPr>
        <w:t>,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112</w:t>
      </w:r>
      <w:r w:rsidRPr="005E595A">
        <w:rPr>
          <w:rFonts w:ascii="Times New Roman" w:hAnsi="Times New Roman" w:cs="Times New Roman"/>
          <w:sz w:val="20"/>
          <w:szCs w:val="20"/>
        </w:rPr>
        <w:t>(5), 2592-2604.</w:t>
      </w:r>
    </w:p>
    <w:p w14:paraId="0F81DB58" w14:textId="77777777" w:rsidR="00A26316" w:rsidRPr="005E595A" w:rsidRDefault="00A26316" w:rsidP="00A26316">
      <w:pPr>
        <w:spacing w:line="480" w:lineRule="auto"/>
        <w:ind w:left="200" w:hangingChars="100" w:hanging="200"/>
        <w:rPr>
          <w:rFonts w:ascii="Times New Roman" w:hAnsi="Times New Roman" w:cs="Times New Roman"/>
          <w:sz w:val="20"/>
          <w:szCs w:val="20"/>
        </w:rPr>
      </w:pPr>
      <w:r w:rsidRPr="005E595A">
        <w:rPr>
          <w:rFonts w:ascii="Times New Roman" w:hAnsi="Times New Roman" w:cs="Times New Roman"/>
          <w:sz w:val="20"/>
          <w:szCs w:val="20"/>
        </w:rPr>
        <w:t>De Santis, A., Chuvieco, E., &amp; Vaughan, P. J. (2009). Short-term assessment of burn severity using the inversion of PROSPECT and GeoSail models.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Remote Sensing of Environment</w:t>
      </w:r>
      <w:r w:rsidRPr="005E595A">
        <w:rPr>
          <w:rFonts w:ascii="Times New Roman" w:hAnsi="Times New Roman" w:cs="Times New Roman"/>
          <w:sz w:val="20"/>
          <w:szCs w:val="20"/>
        </w:rPr>
        <w:t>,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113</w:t>
      </w:r>
      <w:r w:rsidRPr="005E595A">
        <w:rPr>
          <w:rFonts w:ascii="Times New Roman" w:hAnsi="Times New Roman" w:cs="Times New Roman"/>
          <w:sz w:val="20"/>
          <w:szCs w:val="20"/>
        </w:rPr>
        <w:t>(1), 126-136.</w:t>
      </w:r>
    </w:p>
    <w:p w14:paraId="78DB73D1" w14:textId="0AEA3E43" w:rsidR="00791E27" w:rsidRPr="005E595A" w:rsidRDefault="00791E27" w:rsidP="00791E27">
      <w:pPr>
        <w:spacing w:line="480" w:lineRule="auto"/>
        <w:ind w:left="200" w:hangingChars="100" w:hanging="200"/>
        <w:rPr>
          <w:rFonts w:ascii="Times New Roman" w:hAnsi="Times New Roman" w:cs="Times New Roman"/>
          <w:sz w:val="20"/>
          <w:szCs w:val="20"/>
        </w:rPr>
      </w:pPr>
      <w:r w:rsidRPr="005E595A">
        <w:rPr>
          <w:rFonts w:ascii="Times New Roman" w:hAnsi="Times New Roman" w:cs="Times New Roman"/>
          <w:sz w:val="20"/>
          <w:szCs w:val="20"/>
        </w:rPr>
        <w:t>Enrique, G., Olmo, Manuel, Poorter, Hendrik, Ubera, Jose Luis, Villar, Rafael, 2016. Leaf</w:t>
      </w:r>
      <w:r w:rsidRPr="005E595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5E595A">
        <w:rPr>
          <w:rFonts w:ascii="Times New Roman" w:hAnsi="Times New Roman" w:cs="Times New Roman"/>
          <w:sz w:val="20"/>
          <w:szCs w:val="20"/>
        </w:rPr>
        <w:t>mass per area (LMA) and its relationship with leaf structure and anatomy in 34</w:t>
      </w:r>
      <w:r w:rsidRPr="005E595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5E595A">
        <w:rPr>
          <w:rFonts w:ascii="Times New Roman" w:hAnsi="Times New Roman" w:cs="Times New Roman"/>
          <w:sz w:val="20"/>
          <w:szCs w:val="20"/>
        </w:rPr>
        <w:t xml:space="preserve">Mediterranean woody species along a water availability gradient. 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PLoS One</w:t>
      </w:r>
      <w:r w:rsidRPr="005E595A">
        <w:rPr>
          <w:rFonts w:ascii="Times New Roman" w:hAnsi="Times New Roman" w:cs="Times New Roman"/>
          <w:sz w:val="20"/>
          <w:szCs w:val="20"/>
        </w:rPr>
        <w:t>,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 xml:space="preserve"> 11</w:t>
      </w:r>
      <w:r w:rsidRPr="005E595A">
        <w:rPr>
          <w:rFonts w:ascii="Times New Roman" w:hAnsi="Times New Roman" w:cs="Times New Roman"/>
          <w:sz w:val="20"/>
          <w:szCs w:val="20"/>
        </w:rPr>
        <w:t>(2),</w:t>
      </w:r>
      <w:r w:rsidRPr="005E595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5E595A">
        <w:rPr>
          <w:rFonts w:ascii="Times New Roman" w:hAnsi="Times New Roman" w:cs="Times New Roman"/>
          <w:sz w:val="20"/>
          <w:szCs w:val="20"/>
        </w:rPr>
        <w:t>e0148788.</w:t>
      </w:r>
    </w:p>
    <w:p w14:paraId="709AD40F" w14:textId="77777777" w:rsidR="00A26316" w:rsidRPr="005E595A" w:rsidRDefault="00A26316" w:rsidP="00A26316">
      <w:pPr>
        <w:spacing w:line="480" w:lineRule="auto"/>
        <w:ind w:left="200" w:hangingChars="100" w:hanging="200"/>
        <w:rPr>
          <w:rFonts w:ascii="Times New Roman" w:hAnsi="Times New Roman" w:cs="Times New Roman"/>
          <w:sz w:val="20"/>
          <w:szCs w:val="20"/>
        </w:rPr>
      </w:pPr>
      <w:r w:rsidRPr="005E595A">
        <w:rPr>
          <w:rFonts w:ascii="Times New Roman" w:hAnsi="Times New Roman" w:cs="Times New Roman"/>
          <w:sz w:val="20"/>
          <w:szCs w:val="20"/>
        </w:rPr>
        <w:t>Feret, J. B., François, C., Gitelson, A., Asner, G. P., Barry, K. M., Panigada, C., ... &amp; Jacquemoud, S. (2011). Optimizing spectral indices and chemometric analysis of leaf chemical properties using radiative transfer modeling.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Remote sensing of environment</w:t>
      </w:r>
      <w:r w:rsidRPr="005E595A">
        <w:rPr>
          <w:rFonts w:ascii="Times New Roman" w:hAnsi="Times New Roman" w:cs="Times New Roman"/>
          <w:sz w:val="20"/>
          <w:szCs w:val="20"/>
        </w:rPr>
        <w:t>,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115</w:t>
      </w:r>
      <w:r w:rsidRPr="005E595A">
        <w:rPr>
          <w:rFonts w:ascii="Times New Roman" w:hAnsi="Times New Roman" w:cs="Times New Roman"/>
          <w:sz w:val="20"/>
          <w:szCs w:val="20"/>
        </w:rPr>
        <w:t>(10), 2742-2750.</w:t>
      </w:r>
    </w:p>
    <w:p w14:paraId="06C32CEA" w14:textId="77777777" w:rsidR="00A26316" w:rsidRPr="005E595A" w:rsidRDefault="00A26316" w:rsidP="00A26316">
      <w:pPr>
        <w:spacing w:line="480" w:lineRule="auto"/>
        <w:ind w:left="200" w:hangingChars="100" w:hanging="200"/>
        <w:rPr>
          <w:rFonts w:ascii="Times New Roman" w:hAnsi="Times New Roman" w:cs="Times New Roman"/>
          <w:sz w:val="20"/>
          <w:szCs w:val="20"/>
        </w:rPr>
      </w:pPr>
      <w:r w:rsidRPr="005E595A">
        <w:rPr>
          <w:rFonts w:ascii="Times New Roman" w:hAnsi="Times New Roman" w:cs="Times New Roman"/>
          <w:sz w:val="20"/>
          <w:szCs w:val="20"/>
        </w:rPr>
        <w:t>Jacquemoud, S., Bacour, C., Poilve, H., &amp; Frangi, J. P. (2000). Comparison of four radiative transfer models to simulate plant canopies reflectance: Direct and inverse mode.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Remote Sensing of Environment</w:t>
      </w:r>
      <w:r w:rsidRPr="005E595A">
        <w:rPr>
          <w:rFonts w:ascii="Times New Roman" w:hAnsi="Times New Roman" w:cs="Times New Roman"/>
          <w:sz w:val="20"/>
          <w:szCs w:val="20"/>
        </w:rPr>
        <w:t>,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74</w:t>
      </w:r>
      <w:r w:rsidRPr="005E595A">
        <w:rPr>
          <w:rFonts w:ascii="Times New Roman" w:hAnsi="Times New Roman" w:cs="Times New Roman"/>
          <w:sz w:val="20"/>
          <w:szCs w:val="20"/>
        </w:rPr>
        <w:t>(3), 471-481.</w:t>
      </w:r>
    </w:p>
    <w:p w14:paraId="089ECB0D" w14:textId="77777777" w:rsidR="00A26316" w:rsidRPr="005E595A" w:rsidRDefault="00A26316" w:rsidP="00A26316">
      <w:pPr>
        <w:spacing w:line="480" w:lineRule="auto"/>
        <w:ind w:left="200" w:hangingChars="100" w:hanging="200"/>
        <w:rPr>
          <w:rFonts w:ascii="Times New Roman" w:hAnsi="Times New Roman" w:cs="Times New Roman"/>
          <w:sz w:val="20"/>
          <w:szCs w:val="20"/>
        </w:rPr>
      </w:pPr>
      <w:r w:rsidRPr="005E595A">
        <w:rPr>
          <w:rFonts w:ascii="Times New Roman" w:hAnsi="Times New Roman" w:cs="Times New Roman"/>
          <w:sz w:val="20"/>
          <w:szCs w:val="20"/>
        </w:rPr>
        <w:t xml:space="preserve">Jiang, C., Ryu, Y., Wang, H., &amp; Keenan, T. F. (2020). An optimality‐based model explains seasonal </w:t>
      </w:r>
      <w:r w:rsidRPr="005E595A">
        <w:rPr>
          <w:rFonts w:ascii="Times New Roman" w:hAnsi="Times New Roman" w:cs="Times New Roman"/>
          <w:sz w:val="20"/>
          <w:szCs w:val="20"/>
        </w:rPr>
        <w:lastRenderedPageBreak/>
        <w:t>variation in C3 plant photosynthetic capacity.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Global Change Biology</w:t>
      </w:r>
      <w:r w:rsidRPr="005E595A">
        <w:rPr>
          <w:rFonts w:ascii="Times New Roman" w:hAnsi="Times New Roman" w:cs="Times New Roman"/>
          <w:sz w:val="20"/>
          <w:szCs w:val="20"/>
        </w:rPr>
        <w:t>,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26</w:t>
      </w:r>
      <w:r w:rsidRPr="005E595A">
        <w:rPr>
          <w:rFonts w:ascii="Times New Roman" w:hAnsi="Times New Roman" w:cs="Times New Roman"/>
          <w:sz w:val="20"/>
          <w:szCs w:val="20"/>
        </w:rPr>
        <w:t>(11), 6493-6510.</w:t>
      </w:r>
    </w:p>
    <w:p w14:paraId="244F9042" w14:textId="77777777" w:rsidR="00A26316" w:rsidRPr="005E595A" w:rsidRDefault="00A26316" w:rsidP="00A26316">
      <w:pPr>
        <w:spacing w:line="480" w:lineRule="auto"/>
        <w:ind w:left="200" w:hangingChars="100" w:hanging="200"/>
        <w:rPr>
          <w:rFonts w:ascii="Times New Roman" w:hAnsi="Times New Roman" w:cs="Times New Roman"/>
          <w:sz w:val="20"/>
          <w:szCs w:val="20"/>
        </w:rPr>
      </w:pPr>
      <w:r w:rsidRPr="005E595A">
        <w:rPr>
          <w:rFonts w:ascii="Times New Roman" w:hAnsi="Times New Roman" w:cs="Times New Roman"/>
          <w:sz w:val="20"/>
          <w:szCs w:val="20"/>
        </w:rPr>
        <w:t>Kötz, B., Schaepman, M., Morsdorf, F., Bowyer, P., Itten, K., &amp; Allgöwer, B. (2004). Radiative transfer modeling within a heterogeneous canopy for estimation of forest fire fuel properties.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Remote Sensing of Environment</w:t>
      </w:r>
      <w:r w:rsidRPr="005E595A">
        <w:rPr>
          <w:rFonts w:ascii="Times New Roman" w:hAnsi="Times New Roman" w:cs="Times New Roman"/>
          <w:sz w:val="20"/>
          <w:szCs w:val="20"/>
        </w:rPr>
        <w:t>,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92</w:t>
      </w:r>
      <w:r w:rsidRPr="005E595A">
        <w:rPr>
          <w:rFonts w:ascii="Times New Roman" w:hAnsi="Times New Roman" w:cs="Times New Roman"/>
          <w:sz w:val="20"/>
          <w:szCs w:val="20"/>
        </w:rPr>
        <w:t>(3), 332-344.</w:t>
      </w:r>
    </w:p>
    <w:p w14:paraId="5FB6FD72" w14:textId="77777777" w:rsidR="00A26316" w:rsidRPr="005E595A" w:rsidRDefault="00A26316" w:rsidP="00A26316">
      <w:pPr>
        <w:spacing w:line="480" w:lineRule="auto"/>
        <w:ind w:left="200" w:hangingChars="100" w:hanging="200"/>
        <w:rPr>
          <w:rFonts w:ascii="Times New Roman" w:hAnsi="Times New Roman" w:cs="Times New Roman"/>
          <w:sz w:val="20"/>
          <w:szCs w:val="20"/>
        </w:rPr>
      </w:pPr>
      <w:r w:rsidRPr="005E595A">
        <w:rPr>
          <w:rFonts w:ascii="Times New Roman" w:hAnsi="Times New Roman" w:cs="Times New Roman"/>
          <w:sz w:val="20"/>
          <w:szCs w:val="20"/>
        </w:rPr>
        <w:t>Peng, Y., Bloomfield, K. J., Cernusak, L. A., Domingues, T. F., &amp; Colin Prentice, I. (2021). Global climate and nutrient controls of photosynthetic capacity.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Communications Biology</w:t>
      </w:r>
      <w:r w:rsidRPr="005E595A">
        <w:rPr>
          <w:rFonts w:ascii="Times New Roman" w:hAnsi="Times New Roman" w:cs="Times New Roman"/>
          <w:sz w:val="20"/>
          <w:szCs w:val="20"/>
        </w:rPr>
        <w:t>,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5E595A">
        <w:rPr>
          <w:rFonts w:ascii="Times New Roman" w:hAnsi="Times New Roman" w:cs="Times New Roman"/>
          <w:sz w:val="20"/>
          <w:szCs w:val="20"/>
        </w:rPr>
        <w:t>(1), 462.</w:t>
      </w:r>
    </w:p>
    <w:p w14:paraId="17FF045D" w14:textId="77777777" w:rsidR="00A26316" w:rsidRPr="005E595A" w:rsidRDefault="00A26316" w:rsidP="00A26316">
      <w:pPr>
        <w:spacing w:line="480" w:lineRule="auto"/>
        <w:ind w:left="200" w:hangingChars="100" w:hanging="200"/>
        <w:rPr>
          <w:rFonts w:ascii="Times New Roman" w:hAnsi="Times New Roman" w:cs="Times New Roman"/>
          <w:sz w:val="20"/>
          <w:szCs w:val="20"/>
        </w:rPr>
      </w:pPr>
      <w:r w:rsidRPr="005E595A">
        <w:rPr>
          <w:rFonts w:ascii="Times New Roman" w:hAnsi="Times New Roman" w:cs="Times New Roman"/>
          <w:sz w:val="20"/>
          <w:szCs w:val="20"/>
        </w:rPr>
        <w:t>Smith, N. G., Keenan, T. F., Colin Prentice, I., Wang, H., Wright, I. J., Niinemets, Ü., ... &amp; Zhou, S. X. (2019). Global photosynthetic capacity is optimized to the environment.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Ecology letters</w:t>
      </w:r>
      <w:r w:rsidRPr="005E595A">
        <w:rPr>
          <w:rFonts w:ascii="Times New Roman" w:hAnsi="Times New Roman" w:cs="Times New Roman"/>
          <w:sz w:val="20"/>
          <w:szCs w:val="20"/>
        </w:rPr>
        <w:t>,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22</w:t>
      </w:r>
      <w:r w:rsidRPr="005E595A">
        <w:rPr>
          <w:rFonts w:ascii="Times New Roman" w:hAnsi="Times New Roman" w:cs="Times New Roman"/>
          <w:sz w:val="20"/>
          <w:szCs w:val="20"/>
        </w:rPr>
        <w:t>(3), 506-517.</w:t>
      </w:r>
    </w:p>
    <w:p w14:paraId="78AE3E72" w14:textId="2497FF52" w:rsidR="002735CF" w:rsidRPr="005E595A" w:rsidRDefault="00A26316" w:rsidP="00791E27">
      <w:pPr>
        <w:spacing w:line="480" w:lineRule="auto"/>
        <w:ind w:left="200" w:hangingChars="100" w:hanging="200"/>
        <w:rPr>
          <w:rFonts w:ascii="Times New Roman" w:hAnsi="Times New Roman" w:cs="Times New Roman"/>
          <w:sz w:val="20"/>
          <w:szCs w:val="20"/>
        </w:rPr>
      </w:pPr>
      <w:r w:rsidRPr="005E595A">
        <w:rPr>
          <w:rFonts w:ascii="Times New Roman" w:hAnsi="Times New Roman" w:cs="Times New Roman"/>
          <w:sz w:val="20"/>
          <w:szCs w:val="20"/>
        </w:rPr>
        <w:t>Sow, M., Mbow, C., Hély, C., Fensholt, R., &amp; Sambou, B. (2013). Estimation of herbaceous fuel moisture content using vegetation indices and land surface temperature from MODIS data.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Remote Sensing</w:t>
      </w:r>
      <w:r w:rsidRPr="005E595A">
        <w:rPr>
          <w:rFonts w:ascii="Times New Roman" w:hAnsi="Times New Roman" w:cs="Times New Roman"/>
          <w:sz w:val="20"/>
          <w:szCs w:val="20"/>
        </w:rPr>
        <w:t>, </w:t>
      </w:r>
      <w:r w:rsidRPr="005E595A"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5E595A">
        <w:rPr>
          <w:rFonts w:ascii="Times New Roman" w:hAnsi="Times New Roman" w:cs="Times New Roman"/>
          <w:sz w:val="20"/>
          <w:szCs w:val="20"/>
        </w:rPr>
        <w:t>(6), 2617-2638.</w:t>
      </w:r>
    </w:p>
    <w:sectPr w:rsidR="002735CF" w:rsidRPr="005E595A" w:rsidSect="004517A1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6B963" w14:textId="77777777" w:rsidR="00103C9E" w:rsidRDefault="00103C9E" w:rsidP="00EC1622">
      <w:r>
        <w:separator/>
      </w:r>
    </w:p>
  </w:endnote>
  <w:endnote w:type="continuationSeparator" w:id="0">
    <w:p w14:paraId="5D8E9D8B" w14:textId="77777777" w:rsidR="00103C9E" w:rsidRDefault="00103C9E" w:rsidP="00EC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1A9BF" w14:textId="77777777" w:rsidR="00103C9E" w:rsidRDefault="00103C9E" w:rsidP="00EC1622">
      <w:r>
        <w:separator/>
      </w:r>
    </w:p>
  </w:footnote>
  <w:footnote w:type="continuationSeparator" w:id="0">
    <w:p w14:paraId="1297D8E9" w14:textId="77777777" w:rsidR="00103C9E" w:rsidRDefault="00103C9E" w:rsidP="00EC1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40"/>
    <w:rsid w:val="000707DA"/>
    <w:rsid w:val="000A419A"/>
    <w:rsid w:val="000D0C8B"/>
    <w:rsid w:val="00102479"/>
    <w:rsid w:val="00103C9E"/>
    <w:rsid w:val="00125BD8"/>
    <w:rsid w:val="001D44D0"/>
    <w:rsid w:val="001E216C"/>
    <w:rsid w:val="002358E1"/>
    <w:rsid w:val="00271940"/>
    <w:rsid w:val="002735CF"/>
    <w:rsid w:val="002875F0"/>
    <w:rsid w:val="002D021D"/>
    <w:rsid w:val="00320FFB"/>
    <w:rsid w:val="00360983"/>
    <w:rsid w:val="00380113"/>
    <w:rsid w:val="00382BD9"/>
    <w:rsid w:val="003F6EC7"/>
    <w:rsid w:val="00437037"/>
    <w:rsid w:val="00444BED"/>
    <w:rsid w:val="004517A1"/>
    <w:rsid w:val="00467D2B"/>
    <w:rsid w:val="005022C8"/>
    <w:rsid w:val="0053754E"/>
    <w:rsid w:val="005610FE"/>
    <w:rsid w:val="0056229A"/>
    <w:rsid w:val="00563941"/>
    <w:rsid w:val="005716B3"/>
    <w:rsid w:val="005E595A"/>
    <w:rsid w:val="00634244"/>
    <w:rsid w:val="00647292"/>
    <w:rsid w:val="00791E27"/>
    <w:rsid w:val="007F7772"/>
    <w:rsid w:val="008879F1"/>
    <w:rsid w:val="008A463F"/>
    <w:rsid w:val="008D08FA"/>
    <w:rsid w:val="00992757"/>
    <w:rsid w:val="00A26316"/>
    <w:rsid w:val="00A51DBF"/>
    <w:rsid w:val="00A77F8D"/>
    <w:rsid w:val="00AA5888"/>
    <w:rsid w:val="00B72A5C"/>
    <w:rsid w:val="00B8208F"/>
    <w:rsid w:val="00BB786D"/>
    <w:rsid w:val="00BD0433"/>
    <w:rsid w:val="00BD7706"/>
    <w:rsid w:val="00C638D7"/>
    <w:rsid w:val="00CB0E3C"/>
    <w:rsid w:val="00D067A6"/>
    <w:rsid w:val="00D46C98"/>
    <w:rsid w:val="00D53E7D"/>
    <w:rsid w:val="00DE611A"/>
    <w:rsid w:val="00E94544"/>
    <w:rsid w:val="00EA1115"/>
    <w:rsid w:val="00EA408F"/>
    <w:rsid w:val="00EA7B18"/>
    <w:rsid w:val="00EC1622"/>
    <w:rsid w:val="00EC1966"/>
    <w:rsid w:val="00ED40A2"/>
    <w:rsid w:val="00F064D1"/>
    <w:rsid w:val="00FB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26B29"/>
  <w15:chartTrackingRefBased/>
  <w15:docId w15:val="{2DB4B347-61B0-4A62-9FA0-AF420AA6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0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F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0"/>
    <w:link w:val="20"/>
    <w:unhideWhenUsed/>
    <w:qFormat/>
    <w:rsid w:val="00A77F8D"/>
    <w:pPr>
      <w:keepLines w:val="0"/>
      <w:widowControl/>
      <w:tabs>
        <w:tab w:val="left" w:pos="720"/>
      </w:tabs>
      <w:spacing w:before="240" w:after="120" w:line="240" w:lineRule="auto"/>
      <w:jc w:val="left"/>
      <w:outlineLvl w:val="1"/>
    </w:pPr>
    <w:rPr>
      <w:rFonts w:ascii="Arial" w:eastAsia="Times New Roman" w:hAnsi="Arial" w:cs="Arial"/>
      <w:bCs w:val="0"/>
      <w:iCs/>
      <w:kern w:val="32"/>
      <w:sz w:val="32"/>
      <w:szCs w:val="28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4517A1"/>
  </w:style>
  <w:style w:type="paragraph" w:styleId="a5">
    <w:name w:val="header"/>
    <w:basedOn w:val="a"/>
    <w:link w:val="a6"/>
    <w:uiPriority w:val="99"/>
    <w:unhideWhenUsed/>
    <w:rsid w:val="00EC16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EC16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1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EC1622"/>
    <w:rPr>
      <w:sz w:val="18"/>
      <w:szCs w:val="18"/>
    </w:rPr>
  </w:style>
  <w:style w:type="character" w:customStyle="1" w:styleId="20">
    <w:name w:val="标题 2 字符"/>
    <w:basedOn w:val="a1"/>
    <w:link w:val="2"/>
    <w:rsid w:val="00A77F8D"/>
    <w:rPr>
      <w:rFonts w:ascii="Arial" w:eastAsia="Times New Roman" w:hAnsi="Arial" w:cs="Arial"/>
      <w:b/>
      <w:iCs/>
      <w:kern w:val="32"/>
      <w:sz w:val="32"/>
      <w:szCs w:val="28"/>
      <w14:ligatures w14:val="none"/>
    </w:rPr>
  </w:style>
  <w:style w:type="character" w:customStyle="1" w:styleId="10">
    <w:name w:val="标题 1 字符"/>
    <w:basedOn w:val="a1"/>
    <w:link w:val="1"/>
    <w:uiPriority w:val="9"/>
    <w:rsid w:val="00A77F8D"/>
    <w:rPr>
      <w:b/>
      <w:bCs/>
      <w:kern w:val="44"/>
      <w:sz w:val="44"/>
      <w:szCs w:val="44"/>
    </w:rPr>
  </w:style>
  <w:style w:type="paragraph" w:styleId="a0">
    <w:name w:val="Body Text"/>
    <w:basedOn w:val="a"/>
    <w:link w:val="a9"/>
    <w:uiPriority w:val="99"/>
    <w:semiHidden/>
    <w:unhideWhenUsed/>
    <w:rsid w:val="00A77F8D"/>
    <w:pPr>
      <w:spacing w:after="120"/>
    </w:pPr>
  </w:style>
  <w:style w:type="character" w:customStyle="1" w:styleId="a9">
    <w:name w:val="正文文本 字符"/>
    <w:basedOn w:val="a1"/>
    <w:link w:val="a0"/>
    <w:uiPriority w:val="99"/>
    <w:semiHidden/>
    <w:rsid w:val="00A77F8D"/>
  </w:style>
  <w:style w:type="paragraph" w:customStyle="1" w:styleId="aa">
    <w:name w:val="公式"/>
    <w:basedOn w:val="a"/>
    <w:next w:val="a"/>
    <w:autoRedefine/>
    <w:qFormat/>
    <w:rsid w:val="00D067A6"/>
    <w:pPr>
      <w:widowControl/>
      <w:tabs>
        <w:tab w:val="center" w:pos="4150"/>
        <w:tab w:val="right" w:pos="10104"/>
      </w:tabs>
      <w:spacing w:line="360" w:lineRule="auto"/>
    </w:pPr>
    <w:rPr>
      <w:rFonts w:ascii="Cambria Math" w:eastAsia="Times New Roman" w:hAnsi="Cambria Math" w:cs="Times New Roman"/>
      <w:i/>
      <w:iCs/>
      <w:kern w:val="0"/>
      <w:sz w:val="20"/>
      <w:szCs w:val="24"/>
      <w:lang w:val="en-GB" w:eastAsia="de-DE"/>
      <w14:ligatures w14:val="none"/>
    </w:rPr>
  </w:style>
  <w:style w:type="table" w:styleId="ab">
    <w:name w:val="Table Grid"/>
    <w:basedOn w:val="a2"/>
    <w:rsid w:val="00EA7B18"/>
    <w:rPr>
      <w:rFonts w:ascii="Times New Roman" w:eastAsia="等线" w:hAnsi="Times New Roman" w:cs="Times New Roman"/>
      <w:kern w:val="0"/>
      <w:sz w:val="20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7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Liu</dc:creator>
  <cp:keywords/>
  <dc:description/>
  <cp:lastModifiedBy>Yihong Liu</cp:lastModifiedBy>
  <cp:revision>39</cp:revision>
  <dcterms:created xsi:type="dcterms:W3CDTF">2023-06-13T20:23:00Z</dcterms:created>
  <dcterms:modified xsi:type="dcterms:W3CDTF">2023-07-31T23:35:00Z</dcterms:modified>
</cp:coreProperties>
</file>