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BDAD" w14:textId="2E213551" w:rsidR="00DA34C1" w:rsidRDefault="00DA34C1" w:rsidP="00DA34C1">
      <w:pPr>
        <w:ind w:left="480" w:hanging="480"/>
      </w:pPr>
      <w:r w:rsidRPr="00DA34C1">
        <w:t>Arena Stage at the Mead Center for American Theater</w:t>
      </w:r>
    </w:p>
    <w:p w14:paraId="4D4CDC9B" w14:textId="18B7FFED" w:rsidR="00DA34C1" w:rsidRPr="00DA34C1" w:rsidRDefault="00DA34C1" w:rsidP="00DA34C1">
      <w:pPr>
        <w:pStyle w:val="a9"/>
        <w:numPr>
          <w:ilvl w:val="0"/>
          <w:numId w:val="1"/>
        </w:numPr>
        <w:rPr>
          <w:rFonts w:hint="eastAsia"/>
        </w:rPr>
      </w:pPr>
      <w:r w:rsidRPr="00DA34C1">
        <w:t>D</w:t>
      </w:r>
      <w:r w:rsidRPr="00DA34C1">
        <w:rPr>
          <w:rFonts w:hint="eastAsia"/>
        </w:rPr>
        <w:t xml:space="preserve">ata from </w:t>
      </w:r>
      <w:proofErr w:type="spellStart"/>
      <w:r w:rsidRPr="00DA34C1">
        <w:rPr>
          <w:rFonts w:hint="eastAsia"/>
        </w:rPr>
        <w:t>archdaily</w:t>
      </w:r>
      <w:proofErr w:type="spellEnd"/>
    </w:p>
    <w:p w14:paraId="60428546" w14:textId="66A16B77" w:rsidR="00DA34C1" w:rsidRPr="00DA34C1" w:rsidRDefault="00DA34C1" w:rsidP="00DA34C1">
      <w:pPr>
        <w:rPr>
          <w:b/>
          <w:bCs/>
        </w:rPr>
      </w:pPr>
      <w:r w:rsidRPr="00DA34C1">
        <w:t>Arena Stage / Bing Thom Architect</w:t>
      </w:r>
      <w:r w:rsidRPr="00DA34C1">
        <w:rPr>
          <w:b/>
          <w:bCs/>
        </w:rPr>
        <w:t>s</w:t>
      </w:r>
    </w:p>
    <w:p w14:paraId="2E2D6D6B" w14:textId="77777777" w:rsidR="00DA34C1" w:rsidRDefault="00DA34C1" w:rsidP="00DA34C1">
      <w:r>
        <w:t>Theater</w:t>
      </w:r>
    </w:p>
    <w:p w14:paraId="1FCB5C78" w14:textId="77777777" w:rsidR="00DA34C1" w:rsidRDefault="00DA34C1" w:rsidP="00DA34C1">
      <w:proofErr w:type="gramStart"/>
      <w:r>
        <w:rPr>
          <w:rFonts w:hint="eastAsia"/>
        </w:rPr>
        <w:t>•</w:t>
      </w:r>
      <w:proofErr w:type="gramEnd"/>
    </w:p>
    <w:p w14:paraId="57A71CB7" w14:textId="77777777" w:rsidR="00DA34C1" w:rsidRDefault="00DA34C1" w:rsidP="00DA34C1">
      <w:r>
        <w:t>Washington, United States</w:t>
      </w:r>
    </w:p>
    <w:p w14:paraId="4105905E" w14:textId="77777777" w:rsidR="00DA34C1" w:rsidRDefault="00DA34C1" w:rsidP="00DA34C1">
      <w:r>
        <w:t>Architects: Bing Thom Architects</w:t>
      </w:r>
    </w:p>
    <w:p w14:paraId="0D80319B" w14:textId="77777777" w:rsidR="00DA34C1" w:rsidRDefault="00DA34C1" w:rsidP="00DA34C1">
      <w:r>
        <w:t xml:space="preserve">Area: </w:t>
      </w:r>
    </w:p>
    <w:p w14:paraId="09FBB76B" w14:textId="77777777" w:rsidR="00DA34C1" w:rsidRDefault="00DA34C1" w:rsidP="00DA34C1">
      <w:r>
        <w:t>200000 m²</w:t>
      </w:r>
    </w:p>
    <w:p w14:paraId="18B82884" w14:textId="77777777" w:rsidR="00DA34C1" w:rsidRDefault="00DA34C1" w:rsidP="00DA34C1">
      <w:proofErr w:type="gramStart"/>
      <w:r>
        <w:t>Year</w:t>
      </w:r>
      <w:proofErr w:type="gramEnd"/>
      <w:r>
        <w:t xml:space="preserve">: </w:t>
      </w:r>
    </w:p>
    <w:p w14:paraId="6BF6FC9C" w14:textId="77777777" w:rsidR="00DA34C1" w:rsidRDefault="00DA34C1" w:rsidP="00DA34C1">
      <w:r>
        <w:t>2010</w:t>
      </w:r>
    </w:p>
    <w:p w14:paraId="7D45D066" w14:textId="77777777" w:rsidR="00DA34C1" w:rsidRDefault="00DA34C1" w:rsidP="00DA34C1">
      <w:proofErr w:type="spellStart"/>
      <w:proofErr w:type="gramStart"/>
      <w:r>
        <w:t>Photographs:Nic</w:t>
      </w:r>
      <w:proofErr w:type="spellEnd"/>
      <w:proofErr w:type="gramEnd"/>
      <w:r>
        <w:t xml:space="preserve"> Lehoux</w:t>
      </w:r>
    </w:p>
    <w:p w14:paraId="7A58D043" w14:textId="77777777" w:rsidR="00DA34C1" w:rsidRDefault="00DA34C1" w:rsidP="00DA34C1">
      <w:r>
        <w:t>Manufacturers</w:t>
      </w:r>
      <w:proofErr w:type="gramStart"/>
      <w:r>
        <w:t>:  Assa</w:t>
      </w:r>
      <w:proofErr w:type="gramEnd"/>
      <w:r>
        <w:t xml:space="preserve"> Abloy, ELEVATE, </w:t>
      </w:r>
      <w:proofErr w:type="spellStart"/>
      <w:r>
        <w:t>StructureCraft</w:t>
      </w:r>
      <w:proofErr w:type="spellEnd"/>
      <w:r>
        <w:t xml:space="preserve">, </w:t>
      </w:r>
      <w:proofErr w:type="spellStart"/>
      <w:r>
        <w:t>dormakaba</w:t>
      </w:r>
      <w:proofErr w:type="spellEnd"/>
      <w:r>
        <w:t xml:space="preserve">, DuPont, Altman Lighting, BASF, CIFIAL, Daltile, GE Lighting, Henry Company, ISEC, Kawneer, </w:t>
      </w:r>
      <w:proofErr w:type="spellStart"/>
      <w:r>
        <w:t>Marmoleum</w:t>
      </w:r>
      <w:proofErr w:type="spellEnd"/>
      <w:r>
        <w:t>, SPI lighting, Schlage, Soroush</w:t>
      </w:r>
    </w:p>
    <w:p w14:paraId="0D0B5338" w14:textId="3C3A9A3E" w:rsidR="00707EA2" w:rsidRDefault="00DA34C1" w:rsidP="00DA34C1">
      <w:r>
        <w:t xml:space="preserve">Text description provided by the architects. Arena Stage at the Mead Center for American Theater doubles the company's previous facilities. The design by Bing Tom Architects included restoring two historic theaters, </w:t>
      </w:r>
      <w:proofErr w:type="spellStart"/>
      <w:r>
        <w:t>Fichandler</w:t>
      </w:r>
      <w:proofErr w:type="spellEnd"/>
      <w:r>
        <w:t xml:space="preserve"> and Kreeger, and adding a new experimental theater, Kogod Cradle. A wood and glass structure </w:t>
      </w:r>
      <w:proofErr w:type="gramStart"/>
      <w:r>
        <w:t>encase</w:t>
      </w:r>
      <w:proofErr w:type="gramEnd"/>
      <w:r>
        <w:t xml:space="preserve"> all three theaters topped by a sculptural and dramatic cantilevered roof. Bing Thom Architects thoughtful site design has turned this project into a catalyst in the SW Washington community spurring redevelopment </w:t>
      </w:r>
      <w:proofErr w:type="gramStart"/>
      <w:r>
        <w:t>with in</w:t>
      </w:r>
      <w:proofErr w:type="gramEnd"/>
      <w:r>
        <w:t xml:space="preserve"> the surrounding areas.</w:t>
      </w:r>
    </w:p>
    <w:p w14:paraId="5084B413" w14:textId="77777777" w:rsidR="00DA34C1" w:rsidRDefault="00DA34C1" w:rsidP="00DA34C1">
      <w:r>
        <w:t>Project Team: Brian Ackerman</w:t>
      </w:r>
      <w:r>
        <w:rPr>
          <w:rFonts w:ascii="Arial Unicode MS" w:eastAsia="Arial Unicode MS" w:hAnsi="Arial Unicode MS" w:cs="Arial Unicode MS" w:hint="eastAsia"/>
        </w:rPr>
        <w:t> </w:t>
      </w:r>
      <w:r>
        <w:t xml:space="preserve">, John Camfield, </w:t>
      </w:r>
      <w:r>
        <w:rPr>
          <w:rFonts w:ascii="Arial Unicode MS" w:eastAsia="Arial Unicode MS" w:hAnsi="Arial Unicode MS" w:cs="Arial Unicode MS" w:hint="eastAsia"/>
        </w:rPr>
        <w:t> </w:t>
      </w:r>
      <w:r>
        <w:t xml:space="preserve">Venelin Kokalev, Ling Meng, Michael Motlagh, Francis Yan, Harald Merk, Berit Wooge, </w:t>
      </w:r>
      <w:proofErr w:type="spellStart"/>
      <w:r>
        <w:t>Bibianka</w:t>
      </w:r>
      <w:proofErr w:type="spellEnd"/>
      <w:r>
        <w:t xml:space="preserve"> Fehr, Dan Du, Nicole Hu, Robert Sandilands, Bonnie Thom</w:t>
      </w:r>
      <w:r>
        <w:rPr>
          <w:rFonts w:ascii="Arial Unicode MS" w:eastAsia="Arial Unicode MS" w:hAnsi="Arial Unicode MS" w:cs="Arial Unicode MS" w:hint="eastAsia"/>
        </w:rPr>
        <w:t> </w:t>
      </w:r>
      <w:r>
        <w:t xml:space="preserve">, Amirali Javidan, </w:t>
      </w:r>
      <w:r>
        <w:rPr>
          <w:rFonts w:ascii="Arial Unicode MS" w:eastAsia="Arial Unicode MS" w:hAnsi="Arial Unicode MS" w:cs="Arial Unicode MS" w:hint="eastAsia"/>
        </w:rPr>
        <w:t> </w:t>
      </w:r>
      <w:r>
        <w:t xml:space="preserve">Shinobu Homma, </w:t>
      </w:r>
      <w:r>
        <w:rPr>
          <w:rFonts w:ascii="Arial Unicode MS" w:eastAsia="Arial Unicode MS" w:hAnsi="Arial Unicode MS" w:cs="Arial Unicode MS" w:hint="eastAsia"/>
        </w:rPr>
        <w:t> </w:t>
      </w:r>
      <w:r>
        <w:lastRenderedPageBreak/>
        <w:t xml:space="preserve">Derek Kaplan, </w:t>
      </w:r>
      <w:r>
        <w:rPr>
          <w:rFonts w:ascii="Arial Unicode MS" w:eastAsia="Arial Unicode MS" w:hAnsi="Arial Unicode MS" w:cs="Arial Unicode MS" w:hint="eastAsia"/>
        </w:rPr>
        <w:t> </w:t>
      </w:r>
      <w:r>
        <w:t>Marcos Hui, Rose Chung</w:t>
      </w:r>
    </w:p>
    <w:p w14:paraId="0DFD2C8D" w14:textId="77777777" w:rsidR="00DA34C1" w:rsidRDefault="00DA34C1" w:rsidP="00DA34C1"/>
    <w:p w14:paraId="2F8EBB52" w14:textId="44A2C310" w:rsidR="00DA34C1" w:rsidRDefault="00DA34C1" w:rsidP="00DA34C1">
      <w:r>
        <w:t xml:space="preserve">Working closely with the client, the architects focused on incorporating Artistic Director Molly Smith's idea of 'a theater for all that is passionate, </w:t>
      </w:r>
      <w:proofErr w:type="spellStart"/>
      <w:r>
        <w:t>exhuberant</w:t>
      </w:r>
      <w:proofErr w:type="spellEnd"/>
      <w:r>
        <w:t>, profound, deep and dangerous in the American spirit.'</w:t>
      </w:r>
    </w:p>
    <w:p w14:paraId="3C3C4851" w14:textId="0506C81D" w:rsidR="00DA34C1" w:rsidRDefault="00DA34C1" w:rsidP="00DA34C1">
      <w:r w:rsidRPr="00DA34C1">
        <w:t xml:space="preserve">A new theater, subsurface administration, parking and support spaces, rehearsal halls and a free span roof with bars and a cafe enclosed by a </w:t>
      </w:r>
      <w:proofErr w:type="gramStart"/>
      <w:r w:rsidRPr="00DA34C1">
        <w:t>one of a kind</w:t>
      </w:r>
      <w:proofErr w:type="gramEnd"/>
      <w:r w:rsidRPr="00DA34C1">
        <w:t xml:space="preserve"> wood/glass cable supported curtain-wall system.  Arena Stage has a </w:t>
      </w:r>
      <w:proofErr w:type="gramStart"/>
      <w:r w:rsidRPr="00DA34C1">
        <w:t>free form</w:t>
      </w:r>
      <w:proofErr w:type="gramEnd"/>
      <w:r w:rsidRPr="00DA34C1">
        <w:t xml:space="preserve"> roof and </w:t>
      </w:r>
      <w:proofErr w:type="gramStart"/>
      <w:r w:rsidRPr="00DA34C1">
        <w:t xml:space="preserve">a 140' </w:t>
      </w:r>
      <w:proofErr w:type="gramEnd"/>
      <w:r w:rsidRPr="00DA34C1">
        <w:t xml:space="preserve">cantilever.  Over 15,000 cubic yards of architectural concrete </w:t>
      </w:r>
      <w:proofErr w:type="gramStart"/>
      <w:r w:rsidRPr="00DA34C1">
        <w:t>was</w:t>
      </w:r>
      <w:proofErr w:type="gramEnd"/>
      <w:r w:rsidRPr="00DA34C1">
        <w:t xml:space="preserve"> used, and </w:t>
      </w:r>
      <w:proofErr w:type="gramStart"/>
      <w:r w:rsidRPr="00DA34C1">
        <w:t>a complex</w:t>
      </w:r>
      <w:proofErr w:type="gramEnd"/>
      <w:r w:rsidRPr="00DA34C1">
        <w:t xml:space="preserve"> audio, theater, acoustic and MEP systems.</w:t>
      </w:r>
    </w:p>
    <w:p w14:paraId="77F67385" w14:textId="787FC5D7" w:rsidR="00157874" w:rsidRDefault="00157874" w:rsidP="00157874">
      <w:pPr>
        <w:pStyle w:val="a9"/>
        <w:numPr>
          <w:ilvl w:val="0"/>
          <w:numId w:val="1"/>
        </w:numPr>
      </w:pPr>
      <w:r>
        <w:t>D</w:t>
      </w:r>
      <w:r>
        <w:rPr>
          <w:rFonts w:hint="eastAsia"/>
        </w:rPr>
        <w:t xml:space="preserve">ata from </w:t>
      </w:r>
      <w:proofErr w:type="spellStart"/>
      <w:r w:rsidRPr="00157874">
        <w:t>heintges</w:t>
      </w:r>
      <w:proofErr w:type="spellEnd"/>
    </w:p>
    <w:p w14:paraId="6C8D8E27" w14:textId="77777777" w:rsidR="00157874" w:rsidRPr="00157874" w:rsidRDefault="00157874" w:rsidP="00157874">
      <w:r w:rsidRPr="00157874">
        <w:t>Arena Stage at the Mead Center for American Theater</w:t>
      </w:r>
    </w:p>
    <w:p w14:paraId="0D9364DC" w14:textId="77777777" w:rsidR="00157874" w:rsidRPr="00157874" w:rsidRDefault="00157874" w:rsidP="00157874">
      <w:r w:rsidRPr="00157874">
        <w:t>LOCATION</w:t>
      </w:r>
    </w:p>
    <w:p w14:paraId="6A90F49B" w14:textId="77777777" w:rsidR="00157874" w:rsidRPr="00157874" w:rsidRDefault="00157874" w:rsidP="00157874">
      <w:r w:rsidRPr="00157874">
        <w:t>Washington, D.C.</w:t>
      </w:r>
    </w:p>
    <w:p w14:paraId="5604D059" w14:textId="77777777" w:rsidR="00157874" w:rsidRPr="00157874" w:rsidRDefault="00157874" w:rsidP="00157874">
      <w:r w:rsidRPr="00157874">
        <w:t>ARCHITECT</w:t>
      </w:r>
    </w:p>
    <w:p w14:paraId="11B9D1B5" w14:textId="77777777" w:rsidR="00157874" w:rsidRPr="00157874" w:rsidRDefault="00157874" w:rsidP="00157874">
      <w:r w:rsidRPr="00157874">
        <w:t>Bing Thom Architects</w:t>
      </w:r>
    </w:p>
    <w:p w14:paraId="20AECB65" w14:textId="77777777" w:rsidR="00157874" w:rsidRPr="00157874" w:rsidRDefault="00157874" w:rsidP="00157874">
      <w:r w:rsidRPr="00157874">
        <w:t>Owner</w:t>
      </w:r>
    </w:p>
    <w:p w14:paraId="6CBDB5D5" w14:textId="77777777" w:rsidR="00157874" w:rsidRPr="00157874" w:rsidRDefault="00157874" w:rsidP="00157874">
      <w:r w:rsidRPr="00157874">
        <w:t>Arena Stage</w:t>
      </w:r>
    </w:p>
    <w:p w14:paraId="44F5ABE8" w14:textId="77777777" w:rsidR="00157874" w:rsidRPr="00157874" w:rsidRDefault="00157874" w:rsidP="00157874">
      <w:r w:rsidRPr="00157874">
        <w:t>Project Type</w:t>
      </w:r>
    </w:p>
    <w:p w14:paraId="1FD0C31E" w14:textId="77777777" w:rsidR="00157874" w:rsidRPr="00157874" w:rsidRDefault="00157874" w:rsidP="00157874">
      <w:r w:rsidRPr="00157874">
        <w:t>Theater</w:t>
      </w:r>
    </w:p>
    <w:p w14:paraId="26DA1597" w14:textId="77777777" w:rsidR="00157874" w:rsidRPr="00157874" w:rsidRDefault="00157874" w:rsidP="00157874">
      <w:r w:rsidRPr="00157874">
        <w:t>Involvement</w:t>
      </w:r>
    </w:p>
    <w:p w14:paraId="177B0478" w14:textId="77777777" w:rsidR="00157874" w:rsidRPr="00157874" w:rsidRDefault="00157874" w:rsidP="00157874">
      <w:r w:rsidRPr="00157874">
        <w:t>Design, Construction</w:t>
      </w:r>
    </w:p>
    <w:p w14:paraId="016A3748" w14:textId="77777777" w:rsidR="00157874" w:rsidRDefault="00157874" w:rsidP="00157874"/>
    <w:p w14:paraId="45862D73" w14:textId="5FAF3BED" w:rsidR="00157874" w:rsidRDefault="00157874" w:rsidP="00157874">
      <w:pPr>
        <w:rPr>
          <w:rFonts w:hint="eastAsia"/>
        </w:rPr>
      </w:pPr>
      <w:r>
        <w:t xml:space="preserve">Arena Stage was founded in 1950 as a pioneering force in the regional American theater movement. In 2010, after nearly a decade of planning, design, and construction, it reopened with a facility that doubled its size. The new theater </w:t>
      </w:r>
      <w:r>
        <w:lastRenderedPageBreak/>
        <w:t xml:space="preserve">complex underscores the venue’s close relationship to the Southwest Washington community with a dramatic timber- and cable-supported, inclined glass facade that transforms circulation spaces between two existing theaters and the third, new theater into dramatic spaces themselves. </w:t>
      </w:r>
    </w:p>
    <w:p w14:paraId="537FD245" w14:textId="4CEA9DA9" w:rsidR="00157874" w:rsidRDefault="00157874" w:rsidP="00157874">
      <w:pPr>
        <w:rPr>
          <w:rFonts w:hint="eastAsia"/>
        </w:rPr>
      </w:pPr>
      <w:r>
        <w:t xml:space="preserve">The theater’s cantilevered roof, one of the largest in the United States, tapers to a point that aligns with the Maine Avenue axis and the Washington Monument beyond. Below, a </w:t>
      </w:r>
      <w:proofErr w:type="spellStart"/>
      <w:r>
        <w:t>Parallam</w:t>
      </w:r>
      <w:proofErr w:type="spellEnd"/>
      <w:r>
        <w:t xml:space="preserve"> wood and insulated glass curtain wall is the first of its kind in the United States—each wood column that supports the building bears an average load of 400,000 pounds. </w:t>
      </w:r>
    </w:p>
    <w:p w14:paraId="32884438" w14:textId="4629CEAD" w:rsidR="00157874" w:rsidRDefault="00157874" w:rsidP="00157874">
      <w:pPr>
        <w:rPr>
          <w:rFonts w:hint="eastAsia"/>
        </w:rPr>
      </w:pPr>
      <w:r>
        <w:t xml:space="preserve">The facade, hung by cables from a unifying cantilevered roof, is supported against wind forces by branches of the primary timber structure. </w:t>
      </w:r>
      <w:proofErr w:type="spellStart"/>
      <w:r>
        <w:t>Heintges</w:t>
      </w:r>
      <w:proofErr w:type="spellEnd"/>
      <w:r>
        <w:t xml:space="preserve"> facilitated the nuanced coordination between the structurally glazed, glass-and-aluminum enclosure system and this supporting timber-and-cable structural system. The interface between systems required extensive analysis of live load movements and installation sequence. Use of finite element analysis to understand the interactions between the wind-load deflections of the facade and the structure ensured that the structure did not introduce excessive stresses into the facade. Testing of a full-height, seven-story mockup further elucidated the complex relationships among systems. </w:t>
      </w:r>
    </w:p>
    <w:p w14:paraId="30ADE140" w14:textId="77777777" w:rsidR="00157874" w:rsidRDefault="00157874" w:rsidP="00157874">
      <w:proofErr w:type="spellStart"/>
      <w:r>
        <w:t>Heintges</w:t>
      </w:r>
      <w:proofErr w:type="spellEnd"/>
      <w:r>
        <w:t xml:space="preserve"> provided curtain wall and building envelope consulting services for all phases of design and construction, including facade analysis and the detailing of the unique aluminum-and-timber glazing-support system.</w:t>
      </w:r>
    </w:p>
    <w:p w14:paraId="72448DC7" w14:textId="1625E0B2" w:rsidR="00157874" w:rsidRDefault="00157874" w:rsidP="00157874">
      <w:pPr>
        <w:rPr>
          <w:rFonts w:hint="eastAsia"/>
        </w:rPr>
      </w:pPr>
    </w:p>
    <w:sectPr w:rsidR="0015787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4C854" w14:textId="77777777" w:rsidR="00EF4F62" w:rsidRDefault="00EF4F62" w:rsidP="00DA34C1">
      <w:pPr>
        <w:spacing w:after="0" w:line="240" w:lineRule="auto"/>
      </w:pPr>
      <w:r>
        <w:separator/>
      </w:r>
    </w:p>
  </w:endnote>
  <w:endnote w:type="continuationSeparator" w:id="0">
    <w:p w14:paraId="2D78F4B2" w14:textId="77777777" w:rsidR="00EF4F62" w:rsidRDefault="00EF4F62" w:rsidP="00DA3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Unicode MS">
    <w:panose1 w:val="020B0604020202020204"/>
    <w:charset w:val="88"/>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6B27" w14:textId="77777777" w:rsidR="00EF4F62" w:rsidRDefault="00EF4F62" w:rsidP="00DA34C1">
      <w:pPr>
        <w:spacing w:after="0" w:line="240" w:lineRule="auto"/>
      </w:pPr>
      <w:r>
        <w:separator/>
      </w:r>
    </w:p>
  </w:footnote>
  <w:footnote w:type="continuationSeparator" w:id="0">
    <w:p w14:paraId="600FF0B3" w14:textId="77777777" w:rsidR="00EF4F62" w:rsidRDefault="00EF4F62" w:rsidP="00DA3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F6A78"/>
    <w:multiLevelType w:val="hybridMultilevel"/>
    <w:tmpl w:val="BCD4A3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0925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A59"/>
    <w:rsid w:val="00157874"/>
    <w:rsid w:val="003E4DE6"/>
    <w:rsid w:val="00511441"/>
    <w:rsid w:val="00707EA2"/>
    <w:rsid w:val="00841A59"/>
    <w:rsid w:val="009D7B99"/>
    <w:rsid w:val="00DA34C1"/>
    <w:rsid w:val="00EF4F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C5DA5"/>
  <w15:chartTrackingRefBased/>
  <w15:docId w15:val="{E3A6397E-C868-4A1D-9B3C-56CF1D8E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1A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1A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1A5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41A5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41A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1A5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41A5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1A5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41A5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41A5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41A5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41A5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41A5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41A59"/>
    <w:rPr>
      <w:rFonts w:eastAsiaTheme="majorEastAsia" w:cstheme="majorBidi"/>
      <w:color w:val="0F4761" w:themeColor="accent1" w:themeShade="BF"/>
    </w:rPr>
  </w:style>
  <w:style w:type="character" w:customStyle="1" w:styleId="60">
    <w:name w:val="標題 6 字元"/>
    <w:basedOn w:val="a0"/>
    <w:link w:val="6"/>
    <w:uiPriority w:val="9"/>
    <w:semiHidden/>
    <w:rsid w:val="00841A59"/>
    <w:rPr>
      <w:rFonts w:eastAsiaTheme="majorEastAsia" w:cstheme="majorBidi"/>
      <w:color w:val="595959" w:themeColor="text1" w:themeTint="A6"/>
    </w:rPr>
  </w:style>
  <w:style w:type="character" w:customStyle="1" w:styleId="70">
    <w:name w:val="標題 7 字元"/>
    <w:basedOn w:val="a0"/>
    <w:link w:val="7"/>
    <w:uiPriority w:val="9"/>
    <w:semiHidden/>
    <w:rsid w:val="00841A59"/>
    <w:rPr>
      <w:rFonts w:eastAsiaTheme="majorEastAsia" w:cstheme="majorBidi"/>
      <w:color w:val="595959" w:themeColor="text1" w:themeTint="A6"/>
    </w:rPr>
  </w:style>
  <w:style w:type="character" w:customStyle="1" w:styleId="80">
    <w:name w:val="標題 8 字元"/>
    <w:basedOn w:val="a0"/>
    <w:link w:val="8"/>
    <w:uiPriority w:val="9"/>
    <w:semiHidden/>
    <w:rsid w:val="00841A59"/>
    <w:rPr>
      <w:rFonts w:eastAsiaTheme="majorEastAsia" w:cstheme="majorBidi"/>
      <w:color w:val="272727" w:themeColor="text1" w:themeTint="D8"/>
    </w:rPr>
  </w:style>
  <w:style w:type="character" w:customStyle="1" w:styleId="90">
    <w:name w:val="標題 9 字元"/>
    <w:basedOn w:val="a0"/>
    <w:link w:val="9"/>
    <w:uiPriority w:val="9"/>
    <w:semiHidden/>
    <w:rsid w:val="00841A59"/>
    <w:rPr>
      <w:rFonts w:eastAsiaTheme="majorEastAsia" w:cstheme="majorBidi"/>
      <w:color w:val="272727" w:themeColor="text1" w:themeTint="D8"/>
    </w:rPr>
  </w:style>
  <w:style w:type="paragraph" w:styleId="a3">
    <w:name w:val="Title"/>
    <w:basedOn w:val="a"/>
    <w:next w:val="a"/>
    <w:link w:val="a4"/>
    <w:uiPriority w:val="10"/>
    <w:qFormat/>
    <w:rsid w:val="00841A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41A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1A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41A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1A59"/>
    <w:pPr>
      <w:spacing w:before="160"/>
      <w:jc w:val="center"/>
    </w:pPr>
    <w:rPr>
      <w:i/>
      <w:iCs/>
      <w:color w:val="404040" w:themeColor="text1" w:themeTint="BF"/>
    </w:rPr>
  </w:style>
  <w:style w:type="character" w:customStyle="1" w:styleId="a8">
    <w:name w:val="引文 字元"/>
    <w:basedOn w:val="a0"/>
    <w:link w:val="a7"/>
    <w:uiPriority w:val="29"/>
    <w:rsid w:val="00841A59"/>
    <w:rPr>
      <w:i/>
      <w:iCs/>
      <w:color w:val="404040" w:themeColor="text1" w:themeTint="BF"/>
    </w:rPr>
  </w:style>
  <w:style w:type="paragraph" w:styleId="a9">
    <w:name w:val="List Paragraph"/>
    <w:basedOn w:val="a"/>
    <w:uiPriority w:val="34"/>
    <w:qFormat/>
    <w:rsid w:val="00841A59"/>
    <w:pPr>
      <w:ind w:left="720"/>
      <w:contextualSpacing/>
    </w:pPr>
  </w:style>
  <w:style w:type="character" w:styleId="aa">
    <w:name w:val="Intense Emphasis"/>
    <w:basedOn w:val="a0"/>
    <w:uiPriority w:val="21"/>
    <w:qFormat/>
    <w:rsid w:val="00841A59"/>
    <w:rPr>
      <w:i/>
      <w:iCs/>
      <w:color w:val="0F4761" w:themeColor="accent1" w:themeShade="BF"/>
    </w:rPr>
  </w:style>
  <w:style w:type="paragraph" w:styleId="ab">
    <w:name w:val="Intense Quote"/>
    <w:basedOn w:val="a"/>
    <w:next w:val="a"/>
    <w:link w:val="ac"/>
    <w:uiPriority w:val="30"/>
    <w:qFormat/>
    <w:rsid w:val="00841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41A59"/>
    <w:rPr>
      <w:i/>
      <w:iCs/>
      <w:color w:val="0F4761" w:themeColor="accent1" w:themeShade="BF"/>
    </w:rPr>
  </w:style>
  <w:style w:type="character" w:styleId="ad">
    <w:name w:val="Intense Reference"/>
    <w:basedOn w:val="a0"/>
    <w:uiPriority w:val="32"/>
    <w:qFormat/>
    <w:rsid w:val="00841A59"/>
    <w:rPr>
      <w:b/>
      <w:bCs/>
      <w:smallCaps/>
      <w:color w:val="0F4761" w:themeColor="accent1" w:themeShade="BF"/>
      <w:spacing w:val="5"/>
    </w:rPr>
  </w:style>
  <w:style w:type="paragraph" w:styleId="ae">
    <w:name w:val="header"/>
    <w:basedOn w:val="a"/>
    <w:link w:val="af"/>
    <w:uiPriority w:val="99"/>
    <w:unhideWhenUsed/>
    <w:rsid w:val="00DA34C1"/>
    <w:pPr>
      <w:tabs>
        <w:tab w:val="center" w:pos="4153"/>
        <w:tab w:val="right" w:pos="8306"/>
      </w:tabs>
      <w:snapToGrid w:val="0"/>
    </w:pPr>
    <w:rPr>
      <w:sz w:val="20"/>
      <w:szCs w:val="20"/>
    </w:rPr>
  </w:style>
  <w:style w:type="character" w:customStyle="1" w:styleId="af">
    <w:name w:val="頁首 字元"/>
    <w:basedOn w:val="a0"/>
    <w:link w:val="ae"/>
    <w:uiPriority w:val="99"/>
    <w:rsid w:val="00DA34C1"/>
    <w:rPr>
      <w:sz w:val="20"/>
      <w:szCs w:val="20"/>
    </w:rPr>
  </w:style>
  <w:style w:type="paragraph" w:styleId="af0">
    <w:name w:val="footer"/>
    <w:basedOn w:val="a"/>
    <w:link w:val="af1"/>
    <w:uiPriority w:val="99"/>
    <w:unhideWhenUsed/>
    <w:rsid w:val="00DA34C1"/>
    <w:pPr>
      <w:tabs>
        <w:tab w:val="center" w:pos="4153"/>
        <w:tab w:val="right" w:pos="8306"/>
      </w:tabs>
      <w:snapToGrid w:val="0"/>
    </w:pPr>
    <w:rPr>
      <w:sz w:val="20"/>
      <w:szCs w:val="20"/>
    </w:rPr>
  </w:style>
  <w:style w:type="character" w:customStyle="1" w:styleId="af1">
    <w:name w:val="頁尾 字元"/>
    <w:basedOn w:val="a0"/>
    <w:link w:val="af0"/>
    <w:uiPriority w:val="99"/>
    <w:rsid w:val="00DA34C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3</cp:revision>
  <dcterms:created xsi:type="dcterms:W3CDTF">2026-06-17T03:40:00Z</dcterms:created>
  <dcterms:modified xsi:type="dcterms:W3CDTF">2026-06-17T03:42:00Z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1892fd66-5485-47fa-929d-32bcc56ed65a</vt:lpwstr>
  </property>
</Properties>
</file>