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F804" w14:textId="17DC0195" w:rsidR="00F176F4" w:rsidRDefault="00F176F4" w:rsidP="00F176F4">
      <w:pPr>
        <w:pStyle w:val="a9"/>
        <w:numPr>
          <w:ilvl w:val="0"/>
          <w:numId w:val="1"/>
        </w:numPr>
        <w:rPr>
          <w:rFonts w:hint="eastAsia"/>
        </w:rPr>
      </w:pPr>
      <w:r>
        <w:t>D</w:t>
      </w:r>
      <w:r>
        <w:rPr>
          <w:rFonts w:hint="eastAsia"/>
        </w:rPr>
        <w:t xml:space="preserve">ata from </w:t>
      </w:r>
      <w:proofErr w:type="spellStart"/>
      <w:r>
        <w:rPr>
          <w:rFonts w:hint="eastAsia"/>
        </w:rPr>
        <w:t>archello</w:t>
      </w:r>
      <w:proofErr w:type="spellEnd"/>
    </w:p>
    <w:p w14:paraId="0AEA7C43" w14:textId="2E61E272" w:rsidR="00F176F4" w:rsidRPr="00F176F4" w:rsidRDefault="00F176F4" w:rsidP="00F176F4">
      <w:r w:rsidRPr="00F176F4">
        <w:t xml:space="preserve">The architects behind the competition entry for Helsinki Music Centre, ”a mezza voce”, were guided by the view that new development should enhance the integrity and calm general expression of the area. The building has been integrated in the coordinate system of its surroundings making two sides of the main mass of the building parallel with Finlandia Hall and the Parliament House, while the tallest part of the main mass continues on the level of the east wall surface of Karamzin Park. The tallest parts have also been located as close to the green zone as possible to continue the impression of public buildings in a park. The transparent glass side of the Music Centre displays the functions of the building and at the same time connects it with the newer buildings and newer architecture of the east part of the area. On the street sides the more solid, perforated copper cladding pre-patinated in green </w:t>
      </w:r>
      <w:proofErr w:type="spellStart"/>
      <w:r w:rsidRPr="00F176F4">
        <w:t>colour</w:t>
      </w:r>
      <w:proofErr w:type="spellEnd"/>
      <w:r w:rsidRPr="00F176F4">
        <w:t xml:space="preserve"> seeks to connect with the buildings of Etu-</w:t>
      </w:r>
      <w:proofErr w:type="spellStart"/>
      <w:r w:rsidRPr="00F176F4">
        <w:t>Töölö</w:t>
      </w:r>
      <w:proofErr w:type="spellEnd"/>
      <w:r w:rsidRPr="00F176F4">
        <w:t xml:space="preserve"> area and the green park volume.</w:t>
      </w:r>
    </w:p>
    <w:p w14:paraId="60ADCD43" w14:textId="77777777" w:rsidR="00F176F4" w:rsidRPr="00F176F4" w:rsidRDefault="00F176F4" w:rsidP="00F176F4"/>
    <w:p w14:paraId="06A862A7" w14:textId="77777777" w:rsidR="00F176F4" w:rsidRPr="00F176F4" w:rsidRDefault="00F176F4" w:rsidP="00F176F4">
      <w:r w:rsidRPr="00F176F4">
        <w:t xml:space="preserve">The Parliament House is part of the square composition and the view from the stairs down towards the parks and further to the Parliament House is open. The inclined deck of the lower building part, treated like a park, descends towards south making space for the independent architecture of the Contemporary Art Museum </w:t>
      </w:r>
      <w:proofErr w:type="spellStart"/>
      <w:r w:rsidRPr="00F176F4">
        <w:t>Kiasma</w:t>
      </w:r>
      <w:proofErr w:type="spellEnd"/>
      <w:r w:rsidRPr="00F176F4">
        <w:t>.</w:t>
      </w:r>
    </w:p>
    <w:p w14:paraId="6684BF2C" w14:textId="17A08C75" w:rsidR="00707EA2" w:rsidRDefault="00F176F4">
      <w:r w:rsidRPr="00F176F4">
        <w:t xml:space="preserve">On </w:t>
      </w:r>
      <w:proofErr w:type="spellStart"/>
      <w:r w:rsidRPr="00F176F4">
        <w:t>Mannerheiminkatu</w:t>
      </w:r>
      <w:proofErr w:type="spellEnd"/>
      <w:r w:rsidRPr="00F176F4">
        <w:t xml:space="preserve"> Street level a pedestrian and bicycle road runs from the entrance square along a lawn plane towards </w:t>
      </w:r>
      <w:proofErr w:type="spellStart"/>
      <w:r w:rsidRPr="00F176F4">
        <w:t>Kiasma</w:t>
      </w:r>
      <w:proofErr w:type="spellEnd"/>
      <w:r w:rsidRPr="00F176F4">
        <w:t xml:space="preserve">, while a path for pedestrians winds down to the event square on </w:t>
      </w:r>
      <w:proofErr w:type="spellStart"/>
      <w:r w:rsidRPr="00F176F4">
        <w:t>Töölönlahti</w:t>
      </w:r>
      <w:proofErr w:type="spellEnd"/>
      <w:r w:rsidRPr="00F176F4">
        <w:t xml:space="preserve"> level. The square has been designed for public outdoor concerts and similar events that can be watched from the inclined deck above. Events taking place inside the Music Centre as well as international music happenings can sometimes be shown on the video screen erected in the square.</w:t>
      </w:r>
    </w:p>
    <w:p w14:paraId="62C7B911" w14:textId="793DC64E" w:rsidR="00F176F4" w:rsidRDefault="00F176F4" w:rsidP="00F176F4">
      <w:pPr>
        <w:rPr>
          <w:rFonts w:hint="eastAsia"/>
        </w:rPr>
      </w:pPr>
      <w:r>
        <w:t>Façades</w:t>
      </w:r>
    </w:p>
    <w:p w14:paraId="6A5AA390" w14:textId="08022D4B" w:rsidR="00F176F4" w:rsidRDefault="00F176F4" w:rsidP="00F176F4">
      <w:pPr>
        <w:rPr>
          <w:rFonts w:hint="eastAsia"/>
        </w:rPr>
      </w:pPr>
      <w:r>
        <w:t>The massing of the building is based on the winning entry in the competition. Helsinki Music Centre is located in the joint area of the rectangular Parliament House and the more free-form Etu-</w:t>
      </w:r>
      <w:proofErr w:type="spellStart"/>
      <w:r>
        <w:t>Töölö</w:t>
      </w:r>
      <w:proofErr w:type="spellEnd"/>
      <w:r>
        <w:t xml:space="preserve"> area, and this is reflected in its </w:t>
      </w:r>
      <w:r>
        <w:lastRenderedPageBreak/>
        <w:t>coordinate system. The façade materials of the building are copper and glass.</w:t>
      </w:r>
    </w:p>
    <w:p w14:paraId="40FA4821" w14:textId="53E15EE4" w:rsidR="00F176F4" w:rsidRDefault="00F176F4" w:rsidP="00F176F4">
      <w:pPr>
        <w:rPr>
          <w:rFonts w:hint="eastAsia"/>
        </w:rPr>
      </w:pPr>
      <w:r>
        <w:t>The detailing of the copper cladding on the façade is built on small-scale abstract patterning based on a vertical rhythm. The patterning has been designed separately for each façade panel, but in line with the general design of the façade in question.</w:t>
      </w:r>
    </w:p>
    <w:p w14:paraId="41DEEC74" w14:textId="494414DE" w:rsidR="00F176F4" w:rsidRDefault="00F176F4" w:rsidP="00F176F4">
      <w:pPr>
        <w:rPr>
          <w:rFonts w:hint="eastAsia"/>
        </w:rPr>
      </w:pPr>
      <w:r>
        <w:t>The vertical patterning consists of patinated copper cladding, while a perforated surface is used as the background for the pattern. The patterning has been implemented with great care.</w:t>
      </w:r>
    </w:p>
    <w:p w14:paraId="05534F01" w14:textId="20220744" w:rsidR="00F176F4" w:rsidRDefault="00F176F4" w:rsidP="00F176F4">
      <w:r>
        <w:t xml:space="preserve">The </w:t>
      </w:r>
      <w:proofErr w:type="spellStart"/>
      <w:r>
        <w:t>colour</w:t>
      </w:r>
      <w:proofErr w:type="spellEnd"/>
      <w:r>
        <w:t xml:space="preserve"> of the patinated copper cladding is soft bluish green. On macro scale the general appearance of the copper surface is light and it also varies according to sunlight and the direction of light.</w:t>
      </w:r>
    </w:p>
    <w:p w14:paraId="634AECD8" w14:textId="1687B473" w:rsidR="00F176F4" w:rsidRPr="00F176F4" w:rsidRDefault="00F176F4" w:rsidP="00F176F4">
      <w:pPr>
        <w:rPr>
          <w:rFonts w:hint="eastAsia"/>
        </w:rPr>
      </w:pPr>
      <w:r w:rsidRPr="00F176F4">
        <w:t xml:space="preserve">The façades have primarily been </w:t>
      </w:r>
      <w:proofErr w:type="spellStart"/>
      <w:r w:rsidRPr="00F176F4">
        <w:t>realised</w:t>
      </w:r>
      <w:proofErr w:type="spellEnd"/>
      <w:r w:rsidRPr="00F176F4">
        <w:t xml:space="preserve"> with pre-patinated 1.5 mm copper sheeting, each sheet patterned separately with a compression technique before erection. The sheets are attached on the frame using a composite installation technique.</w:t>
      </w:r>
    </w:p>
    <w:p w14:paraId="0F071CC8" w14:textId="6F225EB7" w:rsidR="00F176F4" w:rsidRPr="00F176F4" w:rsidRDefault="00F176F4" w:rsidP="00F176F4">
      <w:pPr>
        <w:rPr>
          <w:rFonts w:hint="eastAsia"/>
        </w:rPr>
      </w:pPr>
      <w:r w:rsidRPr="00F176F4">
        <w:t>Some areas of the composite façades, such as the areas of ventilation openings, have been coated with hand-patinated 3 mm massive copper panels.</w:t>
      </w:r>
    </w:p>
    <w:p w14:paraId="41FC03C3" w14:textId="14988280" w:rsidR="00F176F4" w:rsidRPr="00F176F4" w:rsidRDefault="00F176F4" w:rsidP="00F176F4">
      <w:pPr>
        <w:rPr>
          <w:rFonts w:hint="eastAsia"/>
        </w:rPr>
      </w:pPr>
      <w:r w:rsidRPr="00F176F4">
        <w:t>The façades reflect a controlled impression, which has been technically demanding to implement.</w:t>
      </w:r>
    </w:p>
    <w:p w14:paraId="2421634C" w14:textId="39D33142" w:rsidR="00F176F4" w:rsidRDefault="00F176F4" w:rsidP="00F176F4">
      <w:r w:rsidRPr="00F176F4">
        <w:t>The glazing of the lobby areas of the Music Centre was in most parts implemented as point-fixed glazing.</w:t>
      </w:r>
    </w:p>
    <w:p w14:paraId="597D0F0B" w14:textId="15967A0B" w:rsidR="00F176F4" w:rsidRDefault="00F176F4" w:rsidP="00F176F4">
      <w:pPr>
        <w:pStyle w:val="a9"/>
        <w:numPr>
          <w:ilvl w:val="0"/>
          <w:numId w:val="1"/>
        </w:numPr>
        <w:rPr>
          <w:rFonts w:hint="eastAsia"/>
        </w:rPr>
      </w:pPr>
      <w:r>
        <w:t>D</w:t>
      </w:r>
      <w:r>
        <w:rPr>
          <w:rFonts w:hint="eastAsia"/>
        </w:rPr>
        <w:t xml:space="preserve">ata from </w:t>
      </w:r>
      <w:proofErr w:type="spellStart"/>
      <w:r w:rsidRPr="00F176F4">
        <w:t>finnisharchitecture</w:t>
      </w:r>
      <w:proofErr w:type="spellEnd"/>
    </w:p>
    <w:p w14:paraId="39C94C05" w14:textId="63CD63DD" w:rsidR="00F176F4" w:rsidRDefault="00F176F4" w:rsidP="00F176F4">
      <w:r>
        <w:t>Architect</w:t>
      </w:r>
    </w:p>
    <w:p w14:paraId="7A762EC2" w14:textId="77777777" w:rsidR="00F176F4" w:rsidRDefault="00F176F4" w:rsidP="00F176F4">
      <w:r>
        <w:t>LPR Architects</w:t>
      </w:r>
    </w:p>
    <w:p w14:paraId="22ECCB9A" w14:textId="77777777" w:rsidR="00F176F4" w:rsidRDefault="00F176F4" w:rsidP="00F176F4">
      <w:r>
        <w:t>Competition</w:t>
      </w:r>
    </w:p>
    <w:p w14:paraId="714BA7FC" w14:textId="77777777" w:rsidR="00F176F4" w:rsidRDefault="00F176F4" w:rsidP="00F176F4">
      <w:r>
        <w:t>2000</w:t>
      </w:r>
    </w:p>
    <w:p w14:paraId="7E7874F7" w14:textId="77777777" w:rsidR="00F176F4" w:rsidRDefault="00F176F4" w:rsidP="00F176F4">
      <w:r>
        <w:t>Completion</w:t>
      </w:r>
    </w:p>
    <w:p w14:paraId="6E2C22D6" w14:textId="77777777" w:rsidR="00F176F4" w:rsidRDefault="00F176F4" w:rsidP="00F176F4">
      <w:r>
        <w:t>2011</w:t>
      </w:r>
    </w:p>
    <w:p w14:paraId="2E41565E" w14:textId="77777777" w:rsidR="00F176F4" w:rsidRDefault="00F176F4" w:rsidP="00F176F4">
      <w:r>
        <w:lastRenderedPageBreak/>
        <w:t>Gross Area</w:t>
      </w:r>
    </w:p>
    <w:p w14:paraId="1B9B19E9" w14:textId="77777777" w:rsidR="00F176F4" w:rsidRDefault="00F176F4" w:rsidP="00F176F4">
      <w:r>
        <w:t>36000 m²</w:t>
      </w:r>
    </w:p>
    <w:p w14:paraId="283DB73E" w14:textId="77777777" w:rsidR="00F176F4" w:rsidRDefault="00F176F4" w:rsidP="00F176F4">
      <w:r>
        <w:t>Themes</w:t>
      </w:r>
    </w:p>
    <w:p w14:paraId="62AB96D2" w14:textId="77777777" w:rsidR="00F176F4" w:rsidRDefault="00F176F4" w:rsidP="00F176F4">
      <w:r>
        <w:t>Helsinki Built Through Competitions</w:t>
      </w:r>
    </w:p>
    <w:p w14:paraId="6BC5D333" w14:textId="77777777" w:rsidR="00F176F4" w:rsidRDefault="00F176F4" w:rsidP="00F176F4">
      <w:r>
        <w:t>Highlights in Helsinki Centre</w:t>
      </w:r>
    </w:p>
    <w:p w14:paraId="1F442E5C" w14:textId="77777777" w:rsidR="00F176F4" w:rsidRDefault="00F176F4" w:rsidP="00F176F4">
      <w:r>
        <w:t>Helsinki Architecture and Design Highlights</w:t>
      </w:r>
    </w:p>
    <w:p w14:paraId="15B34961" w14:textId="77777777" w:rsidR="00F176F4" w:rsidRDefault="00F176F4" w:rsidP="00F176F4">
      <w:r>
        <w:t>Category</w:t>
      </w:r>
    </w:p>
    <w:p w14:paraId="1A12CC6E" w14:textId="77777777" w:rsidR="00F176F4" w:rsidRDefault="00F176F4" w:rsidP="00F176F4">
      <w:r>
        <w:t>Cultural</w:t>
      </w:r>
    </w:p>
    <w:p w14:paraId="5E3968A8" w14:textId="77777777" w:rsidR="00F176F4" w:rsidRDefault="00F176F4" w:rsidP="00F176F4">
      <w:r>
        <w:t>Tags</w:t>
      </w:r>
    </w:p>
    <w:p w14:paraId="5B70E6EC" w14:textId="77777777" w:rsidR="00F176F4" w:rsidRDefault="00F176F4" w:rsidP="00F176F4">
      <w:r>
        <w:t>competition</w:t>
      </w:r>
    </w:p>
    <w:p w14:paraId="2FE08F1D" w14:textId="1557C92C" w:rsidR="00F176F4" w:rsidRDefault="00F176F4" w:rsidP="00F176F4">
      <w:r>
        <w:t>concert hall</w:t>
      </w:r>
    </w:p>
    <w:p w14:paraId="7750E14F" w14:textId="77777777" w:rsidR="00F176F4" w:rsidRDefault="00F176F4" w:rsidP="00F176F4">
      <w:r>
        <w:t>Helsinki Music Centre opened its doors to the public in 2012. It was built in the heart of the city, on the site of old rail yards facing the Parliament House, and serves as the city’s classical music concert hall and home to Sibelius Academy, the only university-level music institution in Finland.</w:t>
      </w:r>
    </w:p>
    <w:p w14:paraId="74E0854A" w14:textId="77777777" w:rsidR="00F176F4" w:rsidRDefault="00F176F4" w:rsidP="00F176F4"/>
    <w:p w14:paraId="64664FCE" w14:textId="77777777" w:rsidR="00F176F4" w:rsidRDefault="00F176F4" w:rsidP="00F176F4">
      <w:r>
        <w:t>The Finnish Government, the City of Helsinki and the Finnish Broadcasting Company held an international architectural competition to design the Music Centre with a 1,500-seat concert hall and facilities for Sibelius Academy and various other functions. The two-phased international architectural competition held in 1999–2000 received 243 entries during the first phase and 68 during the second.</w:t>
      </w:r>
    </w:p>
    <w:p w14:paraId="44108FA4" w14:textId="77777777" w:rsidR="00F176F4" w:rsidRDefault="00F176F4" w:rsidP="00F176F4"/>
    <w:p w14:paraId="4A635F71" w14:textId="77777777" w:rsidR="00F176F4" w:rsidRDefault="00F176F4" w:rsidP="00F176F4">
      <w:r>
        <w:t xml:space="preserve">The Turku-based office LPR Architects won the competition with their entry “A Mezza Voce” [with a moderate voice]. From an architectural perspective, this means to tread lightly without disturbing the surrounding landscape. With this in mind, and sensitive to the already famous landmarks within the proximity – </w:t>
      </w:r>
      <w:r>
        <w:lastRenderedPageBreak/>
        <w:t xml:space="preserve">Finlandia Hall and </w:t>
      </w:r>
      <w:proofErr w:type="spellStart"/>
      <w:r>
        <w:t>Kiasma</w:t>
      </w:r>
      <w:proofErr w:type="spellEnd"/>
      <w:r>
        <w:t xml:space="preserve"> Museum of Contemporary Art in addition to the Parliament House – the designers conceived a structure that is both restrained and elegant.</w:t>
      </w:r>
    </w:p>
    <w:p w14:paraId="61515C39" w14:textId="77777777" w:rsidR="00F176F4" w:rsidRDefault="00F176F4" w:rsidP="00F176F4"/>
    <w:p w14:paraId="094BDF50" w14:textId="77777777" w:rsidR="00F176F4" w:rsidRDefault="00F176F4" w:rsidP="00F176F4">
      <w:r>
        <w:t>Professor Juhani Pallasmaa in the Finnish Architecture biennial 2010–2011 jury report:</w:t>
      </w:r>
    </w:p>
    <w:p w14:paraId="3EC2A30E" w14:textId="77777777" w:rsidR="00F176F4" w:rsidRDefault="00F176F4" w:rsidP="00F176F4"/>
    <w:p w14:paraId="72EE4170" w14:textId="4BF62342" w:rsidR="00F176F4" w:rsidRPr="00F176F4" w:rsidRDefault="00F176F4" w:rsidP="00F176F4">
      <w:pPr>
        <w:rPr>
          <w:rFonts w:hint="eastAsia"/>
        </w:rPr>
      </w:pPr>
      <w:r>
        <w:rPr>
          <w:rFonts w:hint="eastAsia"/>
        </w:rPr>
        <w:t>“</w:t>
      </w:r>
      <w:r>
        <w:t>This project is an exceptionally demanding architectural brief in terms of the urban context as well as the logistical, functional, technical and acoustical complexities. Yet, the building takes its place in the central urban space of Helsinki elegantly and courteously.”</w:t>
      </w:r>
    </w:p>
    <w:sectPr w:rsidR="00F176F4" w:rsidRPr="00F176F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8198" w14:textId="77777777" w:rsidR="009B05D6" w:rsidRDefault="009B05D6" w:rsidP="00F176F4">
      <w:pPr>
        <w:spacing w:after="0" w:line="240" w:lineRule="auto"/>
      </w:pPr>
      <w:r>
        <w:separator/>
      </w:r>
    </w:p>
  </w:endnote>
  <w:endnote w:type="continuationSeparator" w:id="0">
    <w:p w14:paraId="26E71956" w14:textId="77777777" w:rsidR="009B05D6" w:rsidRDefault="009B05D6" w:rsidP="00F1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A16B8" w14:textId="77777777" w:rsidR="009B05D6" w:rsidRDefault="009B05D6" w:rsidP="00F176F4">
      <w:pPr>
        <w:spacing w:after="0" w:line="240" w:lineRule="auto"/>
      </w:pPr>
      <w:r>
        <w:separator/>
      </w:r>
    </w:p>
  </w:footnote>
  <w:footnote w:type="continuationSeparator" w:id="0">
    <w:p w14:paraId="017A796C" w14:textId="77777777" w:rsidR="009B05D6" w:rsidRDefault="009B05D6" w:rsidP="00F17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23AA"/>
    <w:multiLevelType w:val="hybridMultilevel"/>
    <w:tmpl w:val="E578DD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848905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AC"/>
    <w:rsid w:val="003E4DE6"/>
    <w:rsid w:val="00511441"/>
    <w:rsid w:val="00707EA2"/>
    <w:rsid w:val="009B05D6"/>
    <w:rsid w:val="009D7B99"/>
    <w:rsid w:val="00A654AC"/>
    <w:rsid w:val="00F176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72A63"/>
  <w15:chartTrackingRefBased/>
  <w15:docId w15:val="{15FDAC91-BDB6-42A7-8EB3-B783BAB2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4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4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4A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54A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54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54A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54A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4A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54A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54A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54A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654A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54A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54AC"/>
    <w:rPr>
      <w:rFonts w:eastAsiaTheme="majorEastAsia" w:cstheme="majorBidi"/>
      <w:color w:val="0F4761" w:themeColor="accent1" w:themeShade="BF"/>
    </w:rPr>
  </w:style>
  <w:style w:type="character" w:customStyle="1" w:styleId="60">
    <w:name w:val="標題 6 字元"/>
    <w:basedOn w:val="a0"/>
    <w:link w:val="6"/>
    <w:uiPriority w:val="9"/>
    <w:semiHidden/>
    <w:rsid w:val="00A654AC"/>
    <w:rPr>
      <w:rFonts w:eastAsiaTheme="majorEastAsia" w:cstheme="majorBidi"/>
      <w:color w:val="595959" w:themeColor="text1" w:themeTint="A6"/>
    </w:rPr>
  </w:style>
  <w:style w:type="character" w:customStyle="1" w:styleId="70">
    <w:name w:val="標題 7 字元"/>
    <w:basedOn w:val="a0"/>
    <w:link w:val="7"/>
    <w:uiPriority w:val="9"/>
    <w:semiHidden/>
    <w:rsid w:val="00A654AC"/>
    <w:rPr>
      <w:rFonts w:eastAsiaTheme="majorEastAsia" w:cstheme="majorBidi"/>
      <w:color w:val="595959" w:themeColor="text1" w:themeTint="A6"/>
    </w:rPr>
  </w:style>
  <w:style w:type="character" w:customStyle="1" w:styleId="80">
    <w:name w:val="標題 8 字元"/>
    <w:basedOn w:val="a0"/>
    <w:link w:val="8"/>
    <w:uiPriority w:val="9"/>
    <w:semiHidden/>
    <w:rsid w:val="00A654AC"/>
    <w:rPr>
      <w:rFonts w:eastAsiaTheme="majorEastAsia" w:cstheme="majorBidi"/>
      <w:color w:val="272727" w:themeColor="text1" w:themeTint="D8"/>
    </w:rPr>
  </w:style>
  <w:style w:type="character" w:customStyle="1" w:styleId="90">
    <w:name w:val="標題 9 字元"/>
    <w:basedOn w:val="a0"/>
    <w:link w:val="9"/>
    <w:uiPriority w:val="9"/>
    <w:semiHidden/>
    <w:rsid w:val="00A654AC"/>
    <w:rPr>
      <w:rFonts w:eastAsiaTheme="majorEastAsia" w:cstheme="majorBidi"/>
      <w:color w:val="272727" w:themeColor="text1" w:themeTint="D8"/>
    </w:rPr>
  </w:style>
  <w:style w:type="paragraph" w:styleId="a3">
    <w:name w:val="Title"/>
    <w:basedOn w:val="a"/>
    <w:next w:val="a"/>
    <w:link w:val="a4"/>
    <w:uiPriority w:val="10"/>
    <w:qFormat/>
    <w:rsid w:val="00A654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54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4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54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4AC"/>
    <w:pPr>
      <w:spacing w:before="160"/>
      <w:jc w:val="center"/>
    </w:pPr>
    <w:rPr>
      <w:i/>
      <w:iCs/>
      <w:color w:val="404040" w:themeColor="text1" w:themeTint="BF"/>
    </w:rPr>
  </w:style>
  <w:style w:type="character" w:customStyle="1" w:styleId="a8">
    <w:name w:val="引文 字元"/>
    <w:basedOn w:val="a0"/>
    <w:link w:val="a7"/>
    <w:uiPriority w:val="29"/>
    <w:rsid w:val="00A654AC"/>
    <w:rPr>
      <w:i/>
      <w:iCs/>
      <w:color w:val="404040" w:themeColor="text1" w:themeTint="BF"/>
    </w:rPr>
  </w:style>
  <w:style w:type="paragraph" w:styleId="a9">
    <w:name w:val="List Paragraph"/>
    <w:basedOn w:val="a"/>
    <w:uiPriority w:val="34"/>
    <w:qFormat/>
    <w:rsid w:val="00A654AC"/>
    <w:pPr>
      <w:ind w:left="720"/>
      <w:contextualSpacing/>
    </w:pPr>
  </w:style>
  <w:style w:type="character" w:styleId="aa">
    <w:name w:val="Intense Emphasis"/>
    <w:basedOn w:val="a0"/>
    <w:uiPriority w:val="21"/>
    <w:qFormat/>
    <w:rsid w:val="00A654AC"/>
    <w:rPr>
      <w:i/>
      <w:iCs/>
      <w:color w:val="0F4761" w:themeColor="accent1" w:themeShade="BF"/>
    </w:rPr>
  </w:style>
  <w:style w:type="paragraph" w:styleId="ab">
    <w:name w:val="Intense Quote"/>
    <w:basedOn w:val="a"/>
    <w:next w:val="a"/>
    <w:link w:val="ac"/>
    <w:uiPriority w:val="30"/>
    <w:qFormat/>
    <w:rsid w:val="00A65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54AC"/>
    <w:rPr>
      <w:i/>
      <w:iCs/>
      <w:color w:val="0F4761" w:themeColor="accent1" w:themeShade="BF"/>
    </w:rPr>
  </w:style>
  <w:style w:type="character" w:styleId="ad">
    <w:name w:val="Intense Reference"/>
    <w:basedOn w:val="a0"/>
    <w:uiPriority w:val="32"/>
    <w:qFormat/>
    <w:rsid w:val="00A654AC"/>
    <w:rPr>
      <w:b/>
      <w:bCs/>
      <w:smallCaps/>
      <w:color w:val="0F4761" w:themeColor="accent1" w:themeShade="BF"/>
      <w:spacing w:val="5"/>
    </w:rPr>
  </w:style>
  <w:style w:type="paragraph" w:styleId="ae">
    <w:name w:val="header"/>
    <w:basedOn w:val="a"/>
    <w:link w:val="af"/>
    <w:uiPriority w:val="99"/>
    <w:unhideWhenUsed/>
    <w:rsid w:val="00F176F4"/>
    <w:pPr>
      <w:tabs>
        <w:tab w:val="center" w:pos="4153"/>
        <w:tab w:val="right" w:pos="8306"/>
      </w:tabs>
      <w:snapToGrid w:val="0"/>
    </w:pPr>
    <w:rPr>
      <w:sz w:val="20"/>
      <w:szCs w:val="20"/>
    </w:rPr>
  </w:style>
  <w:style w:type="character" w:customStyle="1" w:styleId="af">
    <w:name w:val="頁首 字元"/>
    <w:basedOn w:val="a0"/>
    <w:link w:val="ae"/>
    <w:uiPriority w:val="99"/>
    <w:rsid w:val="00F176F4"/>
    <w:rPr>
      <w:sz w:val="20"/>
      <w:szCs w:val="20"/>
    </w:rPr>
  </w:style>
  <w:style w:type="paragraph" w:styleId="af0">
    <w:name w:val="footer"/>
    <w:basedOn w:val="a"/>
    <w:link w:val="af1"/>
    <w:uiPriority w:val="99"/>
    <w:unhideWhenUsed/>
    <w:rsid w:val="00F176F4"/>
    <w:pPr>
      <w:tabs>
        <w:tab w:val="center" w:pos="4153"/>
        <w:tab w:val="right" w:pos="8306"/>
      </w:tabs>
      <w:snapToGrid w:val="0"/>
    </w:pPr>
    <w:rPr>
      <w:sz w:val="20"/>
      <w:szCs w:val="20"/>
    </w:rPr>
  </w:style>
  <w:style w:type="character" w:customStyle="1" w:styleId="af1">
    <w:name w:val="頁尾 字元"/>
    <w:basedOn w:val="a0"/>
    <w:link w:val="af0"/>
    <w:uiPriority w:val="99"/>
    <w:rsid w:val="00F176F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2</cp:revision>
  <dcterms:created xsi:type="dcterms:W3CDTF">2026-06-17T16:35:00Z</dcterms:created>
  <dcterms:modified xsi:type="dcterms:W3CDTF">2026-06-17T16:39:00Z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426c3ebe-1cde-416c-a0cc-ea37d333489a</vt:lpwstr>
  </property>
</Properties>
</file>