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3C9B" w14:textId="77777777" w:rsidR="00244992" w:rsidRDefault="00000000">
      <w:pPr>
        <w:spacing w:before="157" w:after="157" w:line="270" w:lineRule="auto"/>
      </w:pPr>
      <w:bookmarkStart w:id="0" w:name="臺北表演藝術中心_tpac_結構化資料_資料庫用"/>
      <w:r>
        <w:rPr>
          <w:rFonts w:eastAsia="Georgia" w:hAnsi="Georgia" w:cs="Georgia"/>
          <w:b/>
          <w:color w:val="000000"/>
          <w:sz w:val="39"/>
        </w:rPr>
        <w:t>臺北表演藝術中心（TPAC）結構化資料（資料庫用）</w:t>
      </w:r>
      <w:bookmarkEnd w:id="0"/>
    </w:p>
    <w:p w14:paraId="78B9C10D" w14:textId="77777777" w:rsidR="0024499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本檔案提供「臺北表演藝術中心」的結構化描述範例，可作為未來建立多個劇場案例資料庫、進行劇場形式發展比較時的單一專案模板。</w:t>
      </w:r>
    </w:p>
    <w:p w14:paraId="092FF927" w14:textId="77777777" w:rsidR="0024499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445AA6">
          <v:rect id="_x0000_s205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75F02A" w14:textId="77777777" w:rsidR="00244992" w:rsidRDefault="00000000">
      <w:pPr>
        <w:spacing w:before="315" w:after="105" w:line="360" w:lineRule="auto"/>
        <w:ind w:left="-30"/>
      </w:pPr>
      <w:bookmarkStart w:id="1" w:name="bm_1_專案識別與定位"/>
      <w:r>
        <w:rPr>
          <w:rFonts w:eastAsia="Georgia" w:hAnsi="Georgia" w:cs="Georgia"/>
          <w:b/>
          <w:color w:val="000000"/>
          <w:sz w:val="24"/>
        </w:rPr>
        <w:t>1. 專案識別與定位</w:t>
      </w:r>
      <w:bookmarkEnd w:id="1"/>
    </w:p>
    <w:p w14:paraId="178B2811" w14:textId="77777777" w:rsidR="0024499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專案代碼（Project ID）：TPAC_Taipei</w:t>
      </w:r>
    </w:p>
    <w:p w14:paraId="508CDF7A" w14:textId="77777777" w:rsidR="0024499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正式名稱（中）：臺北表演藝術中心</w:t>
      </w:r>
    </w:p>
    <w:p w14:paraId="47663A37" w14:textId="77777777" w:rsidR="0024499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正式名稱（英）：Taipei Performing Arts Center</w:t>
      </w:r>
    </w:p>
    <w:p w14:paraId="37D4233A" w14:textId="77777777" w:rsidR="0024499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簡稱：TPAC</w:t>
      </w:r>
    </w:p>
    <w:p w14:paraId="60583A57" w14:textId="77777777" w:rsidR="0024499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類別：表演藝術中心／複合劇場（Performing Arts Center）</w:t>
      </w:r>
    </w:p>
    <w:p w14:paraId="33C30661" w14:textId="77777777" w:rsidR="0024499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城市與行政區：臺北市士林區</w:t>
      </w:r>
    </w:p>
    <w:p w14:paraId="5BD88ADB" w14:textId="77777777" w:rsidR="0024499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具體座落：捷運劍潭站對面，鄰近士林夜市</w:t>
      </w:r>
    </w:p>
    <w:p w14:paraId="1D53E8AD" w14:textId="77777777" w:rsidR="0024499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都市角色關鍵詞：</w:t>
      </w:r>
    </w:p>
    <w:p w14:paraId="3711E4A7" w14:textId="77777777" w:rsidR="0024499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文化新地標</w:t>
      </w:r>
    </w:p>
    <w:p w14:paraId="447DB029" w14:textId="77777777" w:rsidR="0024499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與科學館、天文館、圓山、故宮等形成「文化軸線」</w:t>
      </w:r>
    </w:p>
    <w:p w14:paraId="24DBF867" w14:textId="77777777" w:rsidR="0024499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結合夜市街市的公共性與觀光性</w:t>
      </w:r>
    </w:p>
    <w:p w14:paraId="25D5434A" w14:textId="77777777" w:rsidR="0024499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612B1B">
          <v:rect id="_x0000_s205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832662" w14:textId="77777777" w:rsidR="00244992" w:rsidRDefault="00000000">
      <w:pPr>
        <w:spacing w:before="315" w:after="105" w:line="360" w:lineRule="auto"/>
        <w:ind w:left="-30"/>
      </w:pPr>
      <w:bookmarkStart w:id="2" w:name="bm_2_時間軸與專案階段"/>
      <w:r>
        <w:rPr>
          <w:rFonts w:eastAsia="Georgia" w:hAnsi="Georgia" w:cs="Georgia"/>
          <w:b/>
          <w:color w:val="000000"/>
          <w:sz w:val="24"/>
        </w:rPr>
        <w:t>2. 時間軸與專案階段</w:t>
      </w:r>
      <w:bookmarkEnd w:id="2"/>
    </w:p>
    <w:p w14:paraId="1F642F6E" w14:textId="77777777" w:rsidR="0024499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競圖年份：2008–2009</w:t>
      </w:r>
    </w:p>
    <w:p w14:paraId="617C60C8" w14:textId="77777777" w:rsidR="0024499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開工時間：2012-02-16（開工動土典禮）</w:t>
      </w:r>
    </w:p>
    <w:p w14:paraId="7B99CB7B" w14:textId="77777777" w:rsidR="0024499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原預計完工：2015 年</w:t>
      </w:r>
    </w:p>
    <w:p w14:paraId="562028B7" w14:textId="77777777" w:rsidR="0024499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試營運：2022 年 3 月</w:t>
      </w:r>
    </w:p>
    <w:p w14:paraId="2AC6D836" w14:textId="77777777" w:rsidR="0024499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正式開幕（預計）：2022 年 8 月</w:t>
      </w:r>
    </w:p>
    <w:p w14:paraId="29616064" w14:textId="77777777" w:rsidR="0024499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設計與建造歷程關鍵描述：</w:t>
      </w:r>
    </w:p>
    <w:p w14:paraId="17BBAED4" w14:textId="77777777" w:rsidR="0024499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「漫長工期約十年」</w:t>
      </w:r>
    </w:p>
    <w:p w14:paraId="162EADF8" w14:textId="77777777" w:rsidR="0024499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作為臺北市重大文化建設與國際競圖案之一</w:t>
      </w:r>
    </w:p>
    <w:p w14:paraId="17D4CA5A" w14:textId="77777777" w:rsidR="0024499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DA9FC5">
          <v:rect id="_x0000_s205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63AE91" w14:textId="77777777" w:rsidR="00244992" w:rsidRDefault="00000000">
      <w:pPr>
        <w:spacing w:before="315" w:after="105" w:line="360" w:lineRule="auto"/>
        <w:ind w:left="-30"/>
      </w:pPr>
      <w:bookmarkStart w:id="3" w:name="bm_3_規模與物理量體"/>
      <w:r>
        <w:rPr>
          <w:rFonts w:eastAsia="Georgia" w:hAnsi="Georgia" w:cs="Georgia"/>
          <w:b/>
          <w:color w:val="000000"/>
          <w:sz w:val="24"/>
        </w:rPr>
        <w:t>3. 規模與物理量體</w:t>
      </w:r>
      <w:bookmarkEnd w:id="3"/>
    </w:p>
    <w:p w14:paraId="602CE2A4" w14:textId="77777777" w:rsidR="0024499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總樓地板面積：約 58,658 ㎡（部分來源約 50,000 ㎡）</w:t>
      </w:r>
    </w:p>
    <w:p w14:paraId="34FF91FC" w14:textId="77777777" w:rsidR="0024499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建築高度：約 63 m</w:t>
      </w:r>
    </w:p>
    <w:p w14:paraId="4B90334F" w14:textId="77777777" w:rsidR="0024499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基地環境：</w:t>
      </w:r>
    </w:p>
    <w:p w14:paraId="760D3177" w14:textId="77777777" w:rsidR="0024499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緊鄰捷運站出口與高架道路</w:t>
      </w:r>
    </w:p>
    <w:p w14:paraId="732FA547" w14:textId="77777777" w:rsidR="0024499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連結士林夜市步行流與觀光人潮</w:t>
      </w:r>
    </w:p>
    <w:p w14:paraId="05E48929" w14:textId="77777777" w:rsidR="0024499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建築量體構成：</w:t>
      </w:r>
    </w:p>
    <w:p w14:paraId="2B6EA0D2" w14:textId="77777777" w:rsidR="0024499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中央方形量體（Cube）：整合舞台、後台與支援空間</w:t>
      </w:r>
    </w:p>
    <w:p w14:paraId="4E1C513C" w14:textId="77777777" w:rsidR="0024499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三個劇場量體自方形量體突出，形成多個立面「正面」</w:t>
      </w:r>
    </w:p>
    <w:p w14:paraId="2F65466F" w14:textId="77777777" w:rsidR="0024499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地面層為抬高量體下的廣場與街道延伸空間</w:t>
      </w:r>
    </w:p>
    <w:p w14:paraId="5B4BEFC8" w14:textId="77777777" w:rsidR="0024499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B34C51">
          <v:rect id="_x0000_s205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3AB53C" w14:textId="77777777" w:rsidR="00244992" w:rsidRDefault="00000000">
      <w:pPr>
        <w:spacing w:before="315" w:after="105" w:line="360" w:lineRule="auto"/>
        <w:ind w:left="-30"/>
      </w:pPr>
      <w:bookmarkStart w:id="4" w:name="bm_4_劇場組成與容量_劇場形式比較核心欄位"/>
      <w:r>
        <w:rPr>
          <w:rFonts w:eastAsia="Georgia" w:hAnsi="Georgia" w:cs="Georgia"/>
          <w:b/>
          <w:color w:val="000000"/>
          <w:sz w:val="24"/>
        </w:rPr>
        <w:t>4. 劇場組成與容量（劇場形式比較核心欄位）</w:t>
      </w:r>
      <w:bookmarkEnd w:id="4"/>
    </w:p>
    <w:p w14:paraId="66476FA6" w14:textId="77777777" w:rsidR="00244992" w:rsidRDefault="00000000">
      <w:pPr>
        <w:spacing w:before="315" w:after="105" w:line="360" w:lineRule="auto"/>
        <w:ind w:left="-30"/>
      </w:pPr>
      <w:bookmarkStart w:id="5" w:name="bm_4_1_劇場清單與基本資訊"/>
      <w:r>
        <w:rPr>
          <w:rFonts w:eastAsia="Georgia" w:hAnsi="Georgia" w:cs="Georgia"/>
          <w:b/>
          <w:color w:val="000000"/>
          <w:sz w:val="24"/>
        </w:rPr>
        <w:t>4.1 劇場清單與基本資訊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0"/>
        <w:gridCol w:w="1485"/>
        <w:gridCol w:w="2008"/>
        <w:gridCol w:w="721"/>
        <w:gridCol w:w="1367"/>
        <w:gridCol w:w="2583"/>
      </w:tblGrid>
      <w:tr w:rsidR="00244992" w14:paraId="6337D3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31DA0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劇場名稱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479A9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英文名稱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C2FDF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類型／原型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55201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座位數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7E1F5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主要用途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743590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與其他劇場關係</w:t>
            </w:r>
          </w:p>
        </w:tc>
      </w:tr>
      <w:tr w:rsidR="00244992" w14:paraId="76878E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A81F0A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大劇院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BBEDE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Grand Theater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6046C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略不對稱之「大劇場」型，抗拒標準鞋盒型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345870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約 1500 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172D0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各類大型表演藝術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0E8EC3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可與多形式／黑盒劇場連接形成 Super Theater</w:t>
            </w:r>
          </w:p>
        </w:tc>
      </w:tr>
      <w:tr w:rsidR="00244992" w14:paraId="5AB763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F9AEC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球形劇場（鏡框式中劇場）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73290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Globe Playhouse / Proscenium Playhouse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BAE8E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內外殼球體，鏡框式舞台，類「星體」懸掛於方盒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45B52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約 800 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03B8B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戲劇與多樣中型製作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792CC6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內殼與方形量體交界形成可變的鏡框，與其他劇場共享後台系統</w:t>
            </w:r>
          </w:p>
        </w:tc>
      </w:tr>
      <w:tr w:rsidR="00244992" w14:paraId="059DB1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848E0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藍盒劇場（多形式中劇場）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0880C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Blue Box / Multiform Theatre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029EB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黑盒／多形式空間，高度可變形與實驗性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51C5A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約 800 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D6576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最具實驗性的演出與非典型布景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8A459E" w14:textId="77777777" w:rsidR="0024499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可與大劇院結合為 Super Theater，形成長達約 100 m 的「超級大劇場」</w:t>
            </w:r>
          </w:p>
        </w:tc>
      </w:tr>
    </w:tbl>
    <w:p w14:paraId="0DBD419B" w14:textId="77777777" w:rsidR="00244992" w:rsidRDefault="00244992"/>
    <w:p w14:paraId="308A9460" w14:textId="77777777" w:rsidR="00244992" w:rsidRDefault="00000000">
      <w:pPr>
        <w:spacing w:before="315" w:after="105" w:line="360" w:lineRule="auto"/>
        <w:ind w:left="-30"/>
      </w:pPr>
      <w:bookmarkStart w:id="6" w:name="bm_4_2_劇場間關係與_超級大劇場"/>
      <w:r>
        <w:rPr>
          <w:rFonts w:eastAsia="Georgia" w:hAnsi="Georgia" w:cs="Georgia"/>
          <w:b/>
          <w:color w:val="000000"/>
          <w:sz w:val="24"/>
        </w:rPr>
        <w:t>4.2 劇場間關係與「超級大劇場」</w:t>
      </w:r>
      <w:bookmarkEnd w:id="6"/>
    </w:p>
    <w:p w14:paraId="4F6B0223" w14:textId="77777777" w:rsidR="0024499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三座劇場皆可獨立運作，亦可透過中央方形量體共享後台與支援空間。</w:t>
      </w:r>
    </w:p>
    <w:p w14:paraId="573DDBB2" w14:textId="77777777" w:rsidR="0024499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大劇院與多形式劇場位於同一層，透過合併可形成「Super Theater」，具有工廠般的超大尺度空間，支援傳統劇場難以容納的製作。</w:t>
      </w:r>
    </w:p>
    <w:p w14:paraId="7B22137A" w14:textId="77777777" w:rsidR="0024499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劇場型制組合，回應當代常見「一大、一中、黑盒」之標準組合，但內部運作與可變性極高，用以挑戰既有劇場 typology。</w:t>
      </w:r>
    </w:p>
    <w:p w14:paraId="65522B06" w14:textId="77777777" w:rsidR="0024499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ACD69A">
          <v:rect id="_x0000_s2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498130" w14:textId="77777777" w:rsidR="00244992" w:rsidRDefault="00000000">
      <w:pPr>
        <w:spacing w:before="315" w:after="105" w:line="360" w:lineRule="auto"/>
        <w:ind w:left="-30"/>
      </w:pPr>
      <w:bookmarkStart w:id="7" w:name="bm_5_劇場形式與空間型制_供跨案例比較使用的欄位示意"/>
      <w:r>
        <w:rPr>
          <w:rFonts w:eastAsia="Georgia" w:hAnsi="Georgia" w:cs="Georgia"/>
          <w:b/>
          <w:color w:val="000000"/>
          <w:sz w:val="24"/>
        </w:rPr>
        <w:t>5. 劇場形式與空間型制（供跨案例比較使用的欄位示意）</w:t>
      </w:r>
      <w:bookmarkEnd w:id="7"/>
    </w:p>
    <w:p w14:paraId="4AEDD984" w14:textId="77777777" w:rsidR="00244992" w:rsidRDefault="00000000">
      <w:pPr>
        <w:spacing w:before="315" w:after="105" w:line="360" w:lineRule="auto"/>
        <w:ind w:left="-30"/>
      </w:pPr>
      <w:bookmarkStart w:id="8" w:name="bm_5_1_劇場_typology_層級"/>
      <w:r>
        <w:rPr>
          <w:rFonts w:eastAsia="Georgia" w:hAnsi="Georgia" w:cs="Georgia"/>
          <w:b/>
          <w:color w:val="000000"/>
          <w:sz w:val="24"/>
        </w:rPr>
        <w:t>5.1 劇場 typology 層級</w:t>
      </w:r>
      <w:bookmarkEnd w:id="8"/>
    </w:p>
    <w:p w14:paraId="21BE76F2" w14:textId="77777777" w:rsidR="0024499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傳統原型參照：</w:t>
      </w:r>
    </w:p>
    <w:p w14:paraId="22E5DB29" w14:textId="77777777" w:rsidR="0024499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大劇院：20 世紀大型劇場演進版本，拒絕純粹鞋盒型，席位如折板般連續。</w:t>
      </w:r>
    </w:p>
    <w:p w14:paraId="6715850A" w14:textId="77777777" w:rsidR="0024499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球形劇場：以「星體」／「行星」意象，內外殼形成觀眾流線與獨特鏡框。</w:t>
      </w:r>
    </w:p>
    <w:p w14:paraId="3F9DC5F9" w14:textId="77777777" w:rsidR="0024499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藍盒／多形式劇場：黑盒延伸型，強調靈活配置與實驗性。</w:t>
      </w:r>
    </w:p>
    <w:p w14:paraId="22C0A62B" w14:textId="77777777" w:rsidR="0024499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內部佈局策略：</w:t>
      </w:r>
    </w:p>
    <w:p w14:paraId="53B388C0" w14:textId="77777777" w:rsidR="0024499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將舞台、後台、支援空間集中於中央立方體，劇場如「插入」其中。</w:t>
      </w:r>
    </w:p>
    <w:p w14:paraId="29921261" w14:textId="77777777" w:rsidR="0024499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透過耦合與切換，生成預期之外的舞台長度與空間組合。</w:t>
      </w:r>
    </w:p>
    <w:p w14:paraId="63D7EAE7" w14:textId="77777777" w:rsidR="00244992" w:rsidRDefault="00000000">
      <w:pPr>
        <w:spacing w:before="315" w:after="105" w:line="360" w:lineRule="auto"/>
        <w:ind w:left="-30"/>
      </w:pPr>
      <w:bookmarkStart w:id="9" w:name="bm_5_2_可變性與實驗性指標_可做為未來比較欄位"/>
      <w:r>
        <w:rPr>
          <w:rFonts w:eastAsia="Georgia" w:hAnsi="Georgia" w:cs="Georgia"/>
          <w:b/>
          <w:color w:val="000000"/>
          <w:sz w:val="24"/>
        </w:rPr>
        <w:t>5.2 可變性與實驗性指標（可做為未來比較欄位）</w:t>
      </w:r>
      <w:bookmarkEnd w:id="9"/>
    </w:p>
    <w:p w14:paraId="6D5B8DAF" w14:textId="77777777" w:rsidR="0024499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座位可變性：部分劇場具座位配置調整可能（例如多形式劇場）。</w:t>
      </w:r>
    </w:p>
    <w:p w14:paraId="6C5776BF" w14:textId="77777777" w:rsidR="0024499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舞台長度與尺度：Super Theater 可達約 100 m 長度，支援大尺度實驗製作。</w:t>
      </w:r>
    </w:p>
    <w:p w14:paraId="7273671C" w14:textId="77777777" w:rsidR="0024499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鏡框邏輯：球形劇場內殼與方形量體交界成為可變鏡框，打破單一正向視角。</w:t>
      </w:r>
    </w:p>
    <w:p w14:paraId="50478266" w14:textId="77777777" w:rsidR="0024499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空間用途彈性：工廠般 Super Theater 空間可支援裝置、沉浸式與非傳統劇場形式。</w:t>
      </w:r>
    </w:p>
    <w:p w14:paraId="62626C2D" w14:textId="77777777" w:rsidR="0024499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523B25">
          <v:rect id="_x0000_s2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DCF47A" w14:textId="77777777" w:rsidR="00244992" w:rsidRDefault="00000000">
      <w:pPr>
        <w:spacing w:before="315" w:after="105" w:line="360" w:lineRule="auto"/>
        <w:ind w:left="-30"/>
      </w:pPr>
      <w:bookmarkStart w:id="10" w:name="bm_6_公共性_都市脈絡與觀眾關係"/>
      <w:r>
        <w:rPr>
          <w:rFonts w:eastAsia="Georgia" w:hAnsi="Georgia" w:cs="Georgia"/>
          <w:b/>
          <w:color w:val="000000"/>
          <w:sz w:val="24"/>
        </w:rPr>
        <w:t>6. 公共性、都市脈絡與觀眾關係</w:t>
      </w:r>
      <w:bookmarkEnd w:id="10"/>
    </w:p>
    <w:p w14:paraId="5B9BEF5E" w14:textId="77777777" w:rsidR="00244992" w:rsidRDefault="00000000">
      <w:pPr>
        <w:spacing w:before="315" w:after="105" w:line="360" w:lineRule="auto"/>
        <w:ind w:left="-30"/>
      </w:pPr>
      <w:bookmarkStart w:id="11" w:name="bm_6_1_與城市的關係"/>
      <w:r>
        <w:rPr>
          <w:rFonts w:eastAsia="Georgia" w:hAnsi="Georgia" w:cs="Georgia"/>
          <w:b/>
          <w:color w:val="000000"/>
          <w:sz w:val="24"/>
        </w:rPr>
        <w:t>6.1 與城市的關係</w:t>
      </w:r>
      <w:bookmarkEnd w:id="11"/>
    </w:p>
    <w:p w14:paraId="083ADD84" w14:textId="77777777" w:rsidR="0024499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地處士林夜市旁，直接面向高度觀光化與日常混雜的夜市街道。</w:t>
      </w:r>
    </w:p>
    <w:p w14:paraId="5550C7CD" w14:textId="77777777" w:rsidR="0024499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建築量體抬高，形成下方廣場，視為街道的延伸與「舞台化」的公共空間。</w:t>
      </w:r>
    </w:p>
    <w:p w14:paraId="170DDBD1" w14:textId="77777777" w:rsidR="0024499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透過多重立面與突出劇場量體，建築在城市中呈現多個「正面」，避免單一朝向。</w:t>
      </w:r>
    </w:p>
    <w:p w14:paraId="09B69A53" w14:textId="77777777" w:rsidR="00244992" w:rsidRDefault="00000000">
      <w:pPr>
        <w:spacing w:before="315" w:after="105" w:line="360" w:lineRule="auto"/>
        <w:ind w:left="-30"/>
      </w:pPr>
      <w:bookmarkStart w:id="12" w:name="bm_6_2_公共參觀動線_public_loop"/>
      <w:r>
        <w:rPr>
          <w:rFonts w:eastAsia="Georgia" w:hAnsi="Georgia" w:cs="Georgia"/>
          <w:b/>
          <w:color w:val="000000"/>
          <w:sz w:val="24"/>
        </w:rPr>
        <w:t>6.2 公共參觀動線（Public Loop）</w:t>
      </w:r>
      <w:bookmarkEnd w:id="12"/>
    </w:p>
    <w:p w14:paraId="3D4B1AE0" w14:textId="77777777" w:rsidR="0024499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對象：即使未購票的民眾亦可進入。</w:t>
      </w:r>
    </w:p>
    <w:p w14:paraId="0552CA1C" w14:textId="77777777" w:rsidR="0024499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動線：穿越一般被隱藏的後台與製作空間，使生產過程可見。</w:t>
      </w:r>
    </w:p>
    <w:p w14:paraId="542059A1" w14:textId="77777777" w:rsidR="0024499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敘事：將劇場視為城市與市民的公共機器，而非僅供「有票觀眾」使用的專屬空間。</w:t>
      </w:r>
    </w:p>
    <w:p w14:paraId="781B5DEF" w14:textId="77777777" w:rsidR="00244992" w:rsidRDefault="00000000">
      <w:pPr>
        <w:spacing w:before="315" w:after="105" w:line="360" w:lineRule="auto"/>
        <w:ind w:left="-30"/>
      </w:pPr>
      <w:bookmarkStart w:id="13" w:name="bm_6_3_公共性與權力關係的語彙_可做質性編碼"/>
      <w:r>
        <w:rPr>
          <w:rFonts w:eastAsia="Georgia" w:hAnsi="Georgia" w:cs="Georgia"/>
          <w:b/>
          <w:color w:val="000000"/>
          <w:sz w:val="24"/>
        </w:rPr>
        <w:t>6.3 公共性與權力關係的語彙（可做質性編碼）</w:t>
      </w:r>
      <w:bookmarkEnd w:id="13"/>
    </w:p>
    <w:p w14:paraId="4CEFA1F8" w14:textId="77777777" w:rsidR="0024499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關鍵字示例：</w:t>
      </w:r>
    </w:p>
    <w:p w14:paraId="20258295" w14:textId="77777777" w:rsidR="0024499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「打破第四面牆」</w:t>
      </w:r>
    </w:p>
    <w:p w14:paraId="5A0F5FA6" w14:textId="77777777" w:rsidR="0024499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「延伸街道進入建築」</w:t>
      </w:r>
    </w:p>
    <w:p w14:paraId="1AD55520" w14:textId="77777777" w:rsidR="0024499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「歡迎所有民眾」</w:t>
      </w:r>
    </w:p>
    <w:p w14:paraId="052F5CBC" w14:textId="77777777" w:rsidR="0024499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「文化新地標」</w:t>
      </w:r>
    </w:p>
    <w:p w14:paraId="05053CF1" w14:textId="77777777" w:rsidR="0024499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「文化軸線的一環」</w:t>
      </w:r>
    </w:p>
    <w:p w14:paraId="34FF9636" w14:textId="77777777" w:rsidR="0024499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5C5A65">
          <v:rect id="_x0000_s2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3252FC" w14:textId="77777777" w:rsidR="00244992" w:rsidRDefault="00000000">
      <w:pPr>
        <w:spacing w:before="315" w:after="105" w:line="360" w:lineRule="auto"/>
        <w:ind w:left="-30"/>
      </w:pPr>
      <w:bookmarkStart w:id="14" w:name="bm_7_財務_業主與治理資訊"/>
      <w:r>
        <w:rPr>
          <w:rFonts w:eastAsia="Georgia" w:hAnsi="Georgia" w:cs="Georgia"/>
          <w:b/>
          <w:color w:val="000000"/>
          <w:sz w:val="24"/>
        </w:rPr>
        <w:t>7. 財務、業主與治理資訊</w:t>
      </w:r>
      <w:bookmarkEnd w:id="14"/>
    </w:p>
    <w:p w14:paraId="41A65E52" w14:textId="77777777" w:rsidR="0024499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業主單位：臺北市政府文化局</w:t>
      </w:r>
    </w:p>
    <w:p w14:paraId="267D4249" w14:textId="77777777" w:rsidR="0024499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總工程預算：</w:t>
      </w:r>
    </w:p>
    <w:p w14:paraId="2E64C3D6" w14:textId="77777777" w:rsidR="0024499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約新臺幣 38 億元</w:t>
      </w:r>
    </w:p>
    <w:p w14:paraId="6AB9AFFF" w14:textId="77777777" w:rsidR="0024499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另有來源指概估約 54 億元（約 1.4 億歐元），可能包含不同費用範圍</w:t>
      </w:r>
    </w:p>
    <w:p w14:paraId="70A1BFDF" w14:textId="77777777" w:rsidR="0024499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設計費：約新臺幣 5.7 億元</w:t>
      </w:r>
    </w:p>
    <w:p w14:paraId="084ABFFB" w14:textId="77777777" w:rsidR="0024499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招標方式：國際競圖（共 136 件作品投件，24 國參與）</w:t>
      </w:r>
    </w:p>
    <w:p w14:paraId="36B3BE4D" w14:textId="77777777" w:rsidR="0024499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入圍團隊：</w:t>
      </w:r>
    </w:p>
    <w:p w14:paraId="289859B4" w14:textId="77777777" w:rsidR="0024499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MORPHOSIS（Thom Mayne）</w:t>
      </w:r>
    </w:p>
    <w:p w14:paraId="77B61E09" w14:textId="77777777" w:rsidR="0024499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Jose Ignacio Abalos</w:t>
      </w:r>
    </w:p>
    <w:p w14:paraId="20AB42B2" w14:textId="77777777" w:rsidR="0024499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OMA（Rem Koolhaas 領軍）</w:t>
      </w:r>
    </w:p>
    <w:p w14:paraId="652A7137" w14:textId="77777777" w:rsidR="0024499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評審團言說重點（可作為治理與文化政治分析欄位）：</w:t>
      </w:r>
    </w:p>
    <w:p w14:paraId="284640EB" w14:textId="77777777" w:rsidR="0024499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在地夜市文化如何被建築回應</w:t>
      </w:r>
    </w:p>
    <w:p w14:paraId="2A354D77" w14:textId="77777777" w:rsidR="0024499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是否能成為代表臺北文化的可被暱稱之地標</w:t>
      </w:r>
    </w:p>
    <w:p w14:paraId="59E99CC1" w14:textId="77777777" w:rsidR="0024499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是否為基地量身打造而非通用方案</w:t>
      </w:r>
    </w:p>
    <w:p w14:paraId="722F7FBD" w14:textId="77777777" w:rsidR="00244992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對表演藝術發展與城市文化的刺激與貢獻</w:t>
      </w:r>
    </w:p>
    <w:p w14:paraId="23445785" w14:textId="77777777" w:rsidR="0024499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165C999">
          <v:rect id="_x0000_s2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DE457D" w14:textId="77777777" w:rsidR="00244992" w:rsidRDefault="00000000">
      <w:pPr>
        <w:spacing w:before="315" w:after="105" w:line="360" w:lineRule="auto"/>
        <w:ind w:left="-30"/>
      </w:pPr>
      <w:bookmarkStart w:id="15" w:name="bm_8_專業團隊與顧問"/>
      <w:r>
        <w:rPr>
          <w:rFonts w:eastAsia="Georgia" w:hAnsi="Georgia" w:cs="Georgia"/>
          <w:b/>
          <w:color w:val="000000"/>
          <w:sz w:val="24"/>
        </w:rPr>
        <w:t>8. 專業團隊與顧問</w:t>
      </w:r>
      <w:bookmarkEnd w:id="15"/>
    </w:p>
    <w:p w14:paraId="5D1C7A6A" w14:textId="77777777" w:rsidR="00244992" w:rsidRDefault="00000000">
      <w:pPr>
        <w:spacing w:before="315" w:after="105" w:line="360" w:lineRule="auto"/>
        <w:ind w:left="-30"/>
      </w:pPr>
      <w:bookmarkStart w:id="16" w:name="bm_8_1_主設計團隊"/>
      <w:r>
        <w:rPr>
          <w:rFonts w:eastAsia="Georgia" w:hAnsi="Georgia" w:cs="Georgia"/>
          <w:b/>
          <w:color w:val="000000"/>
          <w:sz w:val="24"/>
        </w:rPr>
        <w:t>8.1 主設計團隊</w:t>
      </w:r>
      <w:bookmarkEnd w:id="16"/>
    </w:p>
    <w:p w14:paraId="28912294" w14:textId="77777777" w:rsidR="0024499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建築事務所：OMA（Office for Metropolitan Architecture）</w:t>
      </w:r>
    </w:p>
    <w:p w14:paraId="62E85B16" w14:textId="77777777" w:rsidR="0024499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主持合夥人：</w:t>
      </w:r>
    </w:p>
    <w:p w14:paraId="06FB343C" w14:textId="77777777" w:rsidR="0024499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Rem Koolhaas</w:t>
      </w:r>
    </w:p>
    <w:p w14:paraId="6E0FA215" w14:textId="77777777" w:rsidR="0024499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David Gianotten</w:t>
      </w:r>
    </w:p>
    <w:p w14:paraId="68C9F9FC" w14:textId="77777777" w:rsidR="0024499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專案總監：</w:t>
      </w:r>
    </w:p>
    <w:p w14:paraId="27882A37" w14:textId="77777777" w:rsidR="0024499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林家如（Chiaju Lin）</w:t>
      </w:r>
    </w:p>
    <w:p w14:paraId="2DC84883" w14:textId="77777777" w:rsidR="00244992" w:rsidRDefault="00000000">
      <w:pPr>
        <w:spacing w:before="315" w:after="105" w:line="360" w:lineRule="auto"/>
        <w:ind w:left="-30"/>
      </w:pPr>
      <w:bookmarkStart w:id="17" w:name="bm_8_2_當地合作與顧問"/>
      <w:r>
        <w:rPr>
          <w:rFonts w:eastAsia="Georgia" w:hAnsi="Georgia" w:cs="Georgia"/>
          <w:b/>
          <w:color w:val="000000"/>
          <w:sz w:val="24"/>
        </w:rPr>
        <w:t>8.2 當地合作與顧問</w:t>
      </w:r>
      <w:bookmarkEnd w:id="17"/>
    </w:p>
    <w:p w14:paraId="77929CD5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執行建築師：大元聯合建築師事務所（姚仁喜團隊）</w:t>
      </w:r>
    </w:p>
    <w:p w14:paraId="4E979003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劇場顧問：dUCKS scéno、行式管理</w:t>
      </w:r>
    </w:p>
    <w:p w14:paraId="277CAE04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室內與景觀設計：Inside Outside</w:t>
      </w:r>
    </w:p>
    <w:p w14:paraId="752C8AA5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聲學顧問：DHV</w:t>
      </w:r>
    </w:p>
    <w:p w14:paraId="48CFC8D0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結構工程：Arup Structure、永俊</w:t>
      </w:r>
    </w:p>
    <w:p w14:paraId="6657AA8D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機電工程：Arup MEP、恆開、林伸</w:t>
      </w:r>
    </w:p>
    <w:p w14:paraId="4C36DF01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消防工程：Arup Fire、臺灣防災</w:t>
      </w:r>
    </w:p>
    <w:p w14:paraId="701605E6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燈光顧問：大公設計</w:t>
      </w:r>
    </w:p>
    <w:p w14:paraId="17ED2EE9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外牆工程：ABT、美商希迪西</w:t>
      </w:r>
    </w:p>
    <w:p w14:paraId="012D58EB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可持續設計：Arup Building Physics、澄毓</w:t>
      </w:r>
    </w:p>
    <w:p w14:paraId="43B8F2A8" w14:textId="77777777" w:rsidR="0024499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其他：地質、交通、模型、攝影、動畫等多方合作單位</w:t>
      </w:r>
    </w:p>
    <w:p w14:paraId="2941F538" w14:textId="77777777" w:rsidR="0024499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B9BF9F">
          <v:rect id="_x0000_s2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6930A5" w14:textId="77777777" w:rsidR="00244992" w:rsidRDefault="00000000">
      <w:pPr>
        <w:spacing w:before="315" w:after="105" w:line="360" w:lineRule="auto"/>
        <w:ind w:left="-30"/>
      </w:pPr>
      <w:bookmarkStart w:id="18" w:name="bm_9_文本來源與語料_供質性分析連結"/>
      <w:r>
        <w:rPr>
          <w:rFonts w:eastAsia="Georgia" w:hAnsi="Georgia" w:cs="Georgia"/>
          <w:b/>
          <w:color w:val="000000"/>
          <w:sz w:val="24"/>
        </w:rPr>
        <w:t>9. 文本來源與語料（供質性分析連結）</w:t>
      </w:r>
      <w:bookmarkEnd w:id="18"/>
    </w:p>
    <w:p w14:paraId="787C18D5" w14:textId="77777777" w:rsidR="0024499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Archdaily：國際建築媒體條目，英文，提供專案基本資料與設計概念簡述。</w:t>
      </w:r>
    </w:p>
    <w:p w14:paraId="4BD19CFD" w14:textId="77777777" w:rsidR="0024499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OMA 官方文本：建築師設計說明，英文，強調 typology 批判、Super Theater 與 Public Loop。</w:t>
      </w:r>
    </w:p>
    <w:p w14:paraId="43806842" w14:textId="77777777" w:rsidR="0024499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AV：建築評論，英文，將 TPAC 定位為「文化容器」，強調內部邊界與街道延伸。</w:t>
      </w:r>
    </w:p>
    <w:p w14:paraId="302C775B" w14:textId="77777777" w:rsidR="0024499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準建築人手札等中文轉譯與報導：翻譯 OMA 文本並補充經費、時間與競圖資訊。</w:t>
      </w:r>
    </w:p>
    <w:p w14:paraId="34EBAD8F" w14:textId="77777777" w:rsidR="0024499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臺北市文化局新聞稿：官方新聞稿，中文，聚焦預算、文化軸線、地標論述與評審發言。</w:t>
      </w:r>
    </w:p>
    <w:p w14:paraId="57611A5A" w14:textId="2422B133" w:rsidR="00244992" w:rsidRPr="00E51A20" w:rsidRDefault="00000000" w:rsidP="00E51A20">
      <w:pPr>
        <w:numPr>
          <w:ilvl w:val="0"/>
          <w:numId w:val="13"/>
        </w:numPr>
        <w:spacing w:before="105" w:after="105" w:line="36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Vogue Taiwan 專訪：時尚媒體專訪建築師，中文，將 TPAC 與時尚、實驗性與跨界設計節奏連結。</w:t>
      </w:r>
    </w:p>
    <w:sectPr w:rsidR="00244992" w:rsidRPr="00E51A20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F26DB" w14:textId="77777777" w:rsidR="00941C59" w:rsidRDefault="00941C59" w:rsidP="00E51A20">
      <w:pPr>
        <w:spacing w:after="0" w:line="240" w:lineRule="auto"/>
      </w:pPr>
      <w:r>
        <w:separator/>
      </w:r>
    </w:p>
  </w:endnote>
  <w:endnote w:type="continuationSeparator" w:id="0">
    <w:p w14:paraId="1D2E9CB8" w14:textId="77777777" w:rsidR="00941C59" w:rsidRDefault="00941C59" w:rsidP="00E51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67FF5" w14:textId="77777777" w:rsidR="00941C59" w:rsidRDefault="00941C59" w:rsidP="00E51A20">
      <w:pPr>
        <w:spacing w:after="0" w:line="240" w:lineRule="auto"/>
      </w:pPr>
      <w:r>
        <w:separator/>
      </w:r>
    </w:p>
  </w:footnote>
  <w:footnote w:type="continuationSeparator" w:id="0">
    <w:p w14:paraId="7AEB1C2E" w14:textId="77777777" w:rsidR="00941C59" w:rsidRDefault="00941C59" w:rsidP="00E51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748"/>
    <w:multiLevelType w:val="hybridMultilevel"/>
    <w:tmpl w:val="08505350"/>
    <w:lvl w:ilvl="0" w:tplc="ADA073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32B530">
      <w:numFmt w:val="decimal"/>
      <w:lvlText w:val=""/>
      <w:lvlJc w:val="left"/>
    </w:lvl>
    <w:lvl w:ilvl="2" w:tplc="9ED255FE">
      <w:numFmt w:val="decimal"/>
      <w:lvlText w:val=""/>
      <w:lvlJc w:val="left"/>
    </w:lvl>
    <w:lvl w:ilvl="3" w:tplc="52F2967C">
      <w:numFmt w:val="decimal"/>
      <w:lvlText w:val=""/>
      <w:lvlJc w:val="left"/>
    </w:lvl>
    <w:lvl w:ilvl="4" w:tplc="799CEED0">
      <w:numFmt w:val="decimal"/>
      <w:lvlText w:val=""/>
      <w:lvlJc w:val="left"/>
    </w:lvl>
    <w:lvl w:ilvl="5" w:tplc="4D7E4254">
      <w:numFmt w:val="decimal"/>
      <w:lvlText w:val=""/>
      <w:lvlJc w:val="left"/>
    </w:lvl>
    <w:lvl w:ilvl="6" w:tplc="DCCE65B0">
      <w:numFmt w:val="decimal"/>
      <w:lvlText w:val=""/>
      <w:lvlJc w:val="left"/>
    </w:lvl>
    <w:lvl w:ilvl="7" w:tplc="8BACD28A">
      <w:numFmt w:val="decimal"/>
      <w:lvlText w:val=""/>
      <w:lvlJc w:val="left"/>
    </w:lvl>
    <w:lvl w:ilvl="8" w:tplc="B764ECAE">
      <w:numFmt w:val="decimal"/>
      <w:lvlText w:val=""/>
      <w:lvlJc w:val="left"/>
    </w:lvl>
  </w:abstractNum>
  <w:abstractNum w:abstractNumId="1" w15:restartNumberingAfterBreak="0">
    <w:nsid w:val="0A395831"/>
    <w:multiLevelType w:val="hybridMultilevel"/>
    <w:tmpl w:val="25603E64"/>
    <w:lvl w:ilvl="0" w:tplc="03E231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4273D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C0A011E">
      <w:numFmt w:val="decimal"/>
      <w:lvlText w:val=""/>
      <w:lvlJc w:val="left"/>
    </w:lvl>
    <w:lvl w:ilvl="3" w:tplc="5DF27538">
      <w:numFmt w:val="decimal"/>
      <w:lvlText w:val=""/>
      <w:lvlJc w:val="left"/>
    </w:lvl>
    <w:lvl w:ilvl="4" w:tplc="3E943FE8">
      <w:numFmt w:val="decimal"/>
      <w:lvlText w:val=""/>
      <w:lvlJc w:val="left"/>
    </w:lvl>
    <w:lvl w:ilvl="5" w:tplc="F572C432">
      <w:numFmt w:val="decimal"/>
      <w:lvlText w:val=""/>
      <w:lvlJc w:val="left"/>
    </w:lvl>
    <w:lvl w:ilvl="6" w:tplc="29DC257C">
      <w:numFmt w:val="decimal"/>
      <w:lvlText w:val=""/>
      <w:lvlJc w:val="left"/>
    </w:lvl>
    <w:lvl w:ilvl="7" w:tplc="4EA0C33A">
      <w:numFmt w:val="decimal"/>
      <w:lvlText w:val=""/>
      <w:lvlJc w:val="left"/>
    </w:lvl>
    <w:lvl w:ilvl="8" w:tplc="3224DCC6">
      <w:numFmt w:val="decimal"/>
      <w:lvlText w:val=""/>
      <w:lvlJc w:val="left"/>
    </w:lvl>
  </w:abstractNum>
  <w:abstractNum w:abstractNumId="2" w15:restartNumberingAfterBreak="0">
    <w:nsid w:val="1B8E5403"/>
    <w:multiLevelType w:val="hybridMultilevel"/>
    <w:tmpl w:val="93EC3B7A"/>
    <w:lvl w:ilvl="0" w:tplc="2B9C62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D24508">
      <w:numFmt w:val="decimal"/>
      <w:lvlText w:val=""/>
      <w:lvlJc w:val="left"/>
    </w:lvl>
    <w:lvl w:ilvl="2" w:tplc="A8EE1CB4">
      <w:numFmt w:val="decimal"/>
      <w:lvlText w:val=""/>
      <w:lvlJc w:val="left"/>
    </w:lvl>
    <w:lvl w:ilvl="3" w:tplc="80DAAC72">
      <w:numFmt w:val="decimal"/>
      <w:lvlText w:val=""/>
      <w:lvlJc w:val="left"/>
    </w:lvl>
    <w:lvl w:ilvl="4" w:tplc="2E2460EE">
      <w:numFmt w:val="decimal"/>
      <w:lvlText w:val=""/>
      <w:lvlJc w:val="left"/>
    </w:lvl>
    <w:lvl w:ilvl="5" w:tplc="E3C6B62C">
      <w:numFmt w:val="decimal"/>
      <w:lvlText w:val=""/>
      <w:lvlJc w:val="left"/>
    </w:lvl>
    <w:lvl w:ilvl="6" w:tplc="3F10D976">
      <w:numFmt w:val="decimal"/>
      <w:lvlText w:val=""/>
      <w:lvlJc w:val="left"/>
    </w:lvl>
    <w:lvl w:ilvl="7" w:tplc="08F61C16">
      <w:numFmt w:val="decimal"/>
      <w:lvlText w:val=""/>
      <w:lvlJc w:val="left"/>
    </w:lvl>
    <w:lvl w:ilvl="8" w:tplc="C83A01D2">
      <w:numFmt w:val="decimal"/>
      <w:lvlText w:val=""/>
      <w:lvlJc w:val="left"/>
    </w:lvl>
  </w:abstractNum>
  <w:abstractNum w:abstractNumId="3" w15:restartNumberingAfterBreak="0">
    <w:nsid w:val="291430C2"/>
    <w:multiLevelType w:val="hybridMultilevel"/>
    <w:tmpl w:val="67720856"/>
    <w:lvl w:ilvl="0" w:tplc="0E2605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B45910">
      <w:numFmt w:val="decimal"/>
      <w:lvlText w:val=""/>
      <w:lvlJc w:val="left"/>
    </w:lvl>
    <w:lvl w:ilvl="2" w:tplc="0D607520">
      <w:numFmt w:val="decimal"/>
      <w:lvlText w:val=""/>
      <w:lvlJc w:val="left"/>
    </w:lvl>
    <w:lvl w:ilvl="3" w:tplc="E43EA480">
      <w:numFmt w:val="decimal"/>
      <w:lvlText w:val=""/>
      <w:lvlJc w:val="left"/>
    </w:lvl>
    <w:lvl w:ilvl="4" w:tplc="40E63D20">
      <w:numFmt w:val="decimal"/>
      <w:lvlText w:val=""/>
      <w:lvlJc w:val="left"/>
    </w:lvl>
    <w:lvl w:ilvl="5" w:tplc="74B6000C">
      <w:numFmt w:val="decimal"/>
      <w:lvlText w:val=""/>
      <w:lvlJc w:val="left"/>
    </w:lvl>
    <w:lvl w:ilvl="6" w:tplc="2B3CFA2C">
      <w:numFmt w:val="decimal"/>
      <w:lvlText w:val=""/>
      <w:lvlJc w:val="left"/>
    </w:lvl>
    <w:lvl w:ilvl="7" w:tplc="2716E0F0">
      <w:numFmt w:val="decimal"/>
      <w:lvlText w:val=""/>
      <w:lvlJc w:val="left"/>
    </w:lvl>
    <w:lvl w:ilvl="8" w:tplc="D772EBF8">
      <w:numFmt w:val="decimal"/>
      <w:lvlText w:val=""/>
      <w:lvlJc w:val="left"/>
    </w:lvl>
  </w:abstractNum>
  <w:abstractNum w:abstractNumId="4" w15:restartNumberingAfterBreak="0">
    <w:nsid w:val="3A6C7EE3"/>
    <w:multiLevelType w:val="hybridMultilevel"/>
    <w:tmpl w:val="1960D318"/>
    <w:lvl w:ilvl="0" w:tplc="F24619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543096">
      <w:numFmt w:val="decimal"/>
      <w:lvlText w:val=""/>
      <w:lvlJc w:val="left"/>
    </w:lvl>
    <w:lvl w:ilvl="2" w:tplc="60AAEB74">
      <w:numFmt w:val="decimal"/>
      <w:lvlText w:val=""/>
      <w:lvlJc w:val="left"/>
    </w:lvl>
    <w:lvl w:ilvl="3" w:tplc="76F4E1CA">
      <w:numFmt w:val="decimal"/>
      <w:lvlText w:val=""/>
      <w:lvlJc w:val="left"/>
    </w:lvl>
    <w:lvl w:ilvl="4" w:tplc="90464D38">
      <w:numFmt w:val="decimal"/>
      <w:lvlText w:val=""/>
      <w:lvlJc w:val="left"/>
    </w:lvl>
    <w:lvl w:ilvl="5" w:tplc="D268914A">
      <w:numFmt w:val="decimal"/>
      <w:lvlText w:val=""/>
      <w:lvlJc w:val="left"/>
    </w:lvl>
    <w:lvl w:ilvl="6" w:tplc="2D0A2CD4">
      <w:numFmt w:val="decimal"/>
      <w:lvlText w:val=""/>
      <w:lvlJc w:val="left"/>
    </w:lvl>
    <w:lvl w:ilvl="7" w:tplc="3E92E7AA">
      <w:numFmt w:val="decimal"/>
      <w:lvlText w:val=""/>
      <w:lvlJc w:val="left"/>
    </w:lvl>
    <w:lvl w:ilvl="8" w:tplc="EFDECEB8">
      <w:numFmt w:val="decimal"/>
      <w:lvlText w:val=""/>
      <w:lvlJc w:val="left"/>
    </w:lvl>
  </w:abstractNum>
  <w:abstractNum w:abstractNumId="5" w15:restartNumberingAfterBreak="0">
    <w:nsid w:val="462666CA"/>
    <w:multiLevelType w:val="hybridMultilevel"/>
    <w:tmpl w:val="61206492"/>
    <w:lvl w:ilvl="0" w:tplc="9BFEC8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E426D2">
      <w:numFmt w:val="decimal"/>
      <w:lvlText w:val=""/>
      <w:lvlJc w:val="left"/>
    </w:lvl>
    <w:lvl w:ilvl="2" w:tplc="AEF0C28E">
      <w:numFmt w:val="decimal"/>
      <w:lvlText w:val=""/>
      <w:lvlJc w:val="left"/>
    </w:lvl>
    <w:lvl w:ilvl="3" w:tplc="33884CE6">
      <w:numFmt w:val="decimal"/>
      <w:lvlText w:val=""/>
      <w:lvlJc w:val="left"/>
    </w:lvl>
    <w:lvl w:ilvl="4" w:tplc="7EFAD8CE">
      <w:numFmt w:val="decimal"/>
      <w:lvlText w:val=""/>
      <w:lvlJc w:val="left"/>
    </w:lvl>
    <w:lvl w:ilvl="5" w:tplc="F88EEAFC">
      <w:numFmt w:val="decimal"/>
      <w:lvlText w:val=""/>
      <w:lvlJc w:val="left"/>
    </w:lvl>
    <w:lvl w:ilvl="6" w:tplc="8A3E01A4">
      <w:numFmt w:val="decimal"/>
      <w:lvlText w:val=""/>
      <w:lvlJc w:val="left"/>
    </w:lvl>
    <w:lvl w:ilvl="7" w:tplc="423C62AC">
      <w:numFmt w:val="decimal"/>
      <w:lvlText w:val=""/>
      <w:lvlJc w:val="left"/>
    </w:lvl>
    <w:lvl w:ilvl="8" w:tplc="CD722A30">
      <w:numFmt w:val="decimal"/>
      <w:lvlText w:val=""/>
      <w:lvlJc w:val="left"/>
    </w:lvl>
  </w:abstractNum>
  <w:abstractNum w:abstractNumId="6" w15:restartNumberingAfterBreak="0">
    <w:nsid w:val="49AC0F71"/>
    <w:multiLevelType w:val="hybridMultilevel"/>
    <w:tmpl w:val="40E4BF96"/>
    <w:lvl w:ilvl="0" w:tplc="994472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8A40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5B60344">
      <w:numFmt w:val="decimal"/>
      <w:lvlText w:val=""/>
      <w:lvlJc w:val="left"/>
    </w:lvl>
    <w:lvl w:ilvl="3" w:tplc="96801EB0">
      <w:numFmt w:val="decimal"/>
      <w:lvlText w:val=""/>
      <w:lvlJc w:val="left"/>
    </w:lvl>
    <w:lvl w:ilvl="4" w:tplc="C9E60160">
      <w:numFmt w:val="decimal"/>
      <w:lvlText w:val=""/>
      <w:lvlJc w:val="left"/>
    </w:lvl>
    <w:lvl w:ilvl="5" w:tplc="35160B28">
      <w:numFmt w:val="decimal"/>
      <w:lvlText w:val=""/>
      <w:lvlJc w:val="left"/>
    </w:lvl>
    <w:lvl w:ilvl="6" w:tplc="52701632">
      <w:numFmt w:val="decimal"/>
      <w:lvlText w:val=""/>
      <w:lvlJc w:val="left"/>
    </w:lvl>
    <w:lvl w:ilvl="7" w:tplc="CBECB772">
      <w:numFmt w:val="decimal"/>
      <w:lvlText w:val=""/>
      <w:lvlJc w:val="left"/>
    </w:lvl>
    <w:lvl w:ilvl="8" w:tplc="39165258">
      <w:numFmt w:val="decimal"/>
      <w:lvlText w:val=""/>
      <w:lvlJc w:val="left"/>
    </w:lvl>
  </w:abstractNum>
  <w:abstractNum w:abstractNumId="7" w15:restartNumberingAfterBreak="0">
    <w:nsid w:val="4ED9304D"/>
    <w:multiLevelType w:val="hybridMultilevel"/>
    <w:tmpl w:val="7582649A"/>
    <w:lvl w:ilvl="0" w:tplc="D52216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16A1B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376E534">
      <w:numFmt w:val="decimal"/>
      <w:lvlText w:val=""/>
      <w:lvlJc w:val="left"/>
    </w:lvl>
    <w:lvl w:ilvl="3" w:tplc="9C248052">
      <w:numFmt w:val="decimal"/>
      <w:lvlText w:val=""/>
      <w:lvlJc w:val="left"/>
    </w:lvl>
    <w:lvl w:ilvl="4" w:tplc="41746B92">
      <w:numFmt w:val="decimal"/>
      <w:lvlText w:val=""/>
      <w:lvlJc w:val="left"/>
    </w:lvl>
    <w:lvl w:ilvl="5" w:tplc="40043FDA">
      <w:numFmt w:val="decimal"/>
      <w:lvlText w:val=""/>
      <w:lvlJc w:val="left"/>
    </w:lvl>
    <w:lvl w:ilvl="6" w:tplc="E22EC1C6">
      <w:numFmt w:val="decimal"/>
      <w:lvlText w:val=""/>
      <w:lvlJc w:val="left"/>
    </w:lvl>
    <w:lvl w:ilvl="7" w:tplc="5614D4E6">
      <w:numFmt w:val="decimal"/>
      <w:lvlText w:val=""/>
      <w:lvlJc w:val="left"/>
    </w:lvl>
    <w:lvl w:ilvl="8" w:tplc="2EA00128">
      <w:numFmt w:val="decimal"/>
      <w:lvlText w:val=""/>
      <w:lvlJc w:val="left"/>
    </w:lvl>
  </w:abstractNum>
  <w:abstractNum w:abstractNumId="8" w15:restartNumberingAfterBreak="0">
    <w:nsid w:val="58F21161"/>
    <w:multiLevelType w:val="hybridMultilevel"/>
    <w:tmpl w:val="E276568E"/>
    <w:lvl w:ilvl="0" w:tplc="1FB6E4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2CD8F8">
      <w:numFmt w:val="decimal"/>
      <w:lvlText w:val=""/>
      <w:lvlJc w:val="left"/>
    </w:lvl>
    <w:lvl w:ilvl="2" w:tplc="4AA87946">
      <w:numFmt w:val="decimal"/>
      <w:lvlText w:val=""/>
      <w:lvlJc w:val="left"/>
    </w:lvl>
    <w:lvl w:ilvl="3" w:tplc="CF822CB0">
      <w:numFmt w:val="decimal"/>
      <w:lvlText w:val=""/>
      <w:lvlJc w:val="left"/>
    </w:lvl>
    <w:lvl w:ilvl="4" w:tplc="E7E86C98">
      <w:numFmt w:val="decimal"/>
      <w:lvlText w:val=""/>
      <w:lvlJc w:val="left"/>
    </w:lvl>
    <w:lvl w:ilvl="5" w:tplc="88769C20">
      <w:numFmt w:val="decimal"/>
      <w:lvlText w:val=""/>
      <w:lvlJc w:val="left"/>
    </w:lvl>
    <w:lvl w:ilvl="6" w:tplc="FA68FC1C">
      <w:numFmt w:val="decimal"/>
      <w:lvlText w:val=""/>
      <w:lvlJc w:val="left"/>
    </w:lvl>
    <w:lvl w:ilvl="7" w:tplc="4898410E">
      <w:numFmt w:val="decimal"/>
      <w:lvlText w:val=""/>
      <w:lvlJc w:val="left"/>
    </w:lvl>
    <w:lvl w:ilvl="8" w:tplc="04E05080">
      <w:numFmt w:val="decimal"/>
      <w:lvlText w:val=""/>
      <w:lvlJc w:val="left"/>
    </w:lvl>
  </w:abstractNum>
  <w:abstractNum w:abstractNumId="9" w15:restartNumberingAfterBreak="0">
    <w:nsid w:val="68F309B9"/>
    <w:multiLevelType w:val="hybridMultilevel"/>
    <w:tmpl w:val="5F7C86BC"/>
    <w:lvl w:ilvl="0" w:tplc="545A92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A2ACA8">
      <w:numFmt w:val="decimal"/>
      <w:lvlText w:val=""/>
      <w:lvlJc w:val="left"/>
    </w:lvl>
    <w:lvl w:ilvl="2" w:tplc="42D2F3DC">
      <w:numFmt w:val="decimal"/>
      <w:lvlText w:val=""/>
      <w:lvlJc w:val="left"/>
    </w:lvl>
    <w:lvl w:ilvl="3" w:tplc="022C8DAC">
      <w:numFmt w:val="decimal"/>
      <w:lvlText w:val=""/>
      <w:lvlJc w:val="left"/>
    </w:lvl>
    <w:lvl w:ilvl="4" w:tplc="99AE19BA">
      <w:numFmt w:val="decimal"/>
      <w:lvlText w:val=""/>
      <w:lvlJc w:val="left"/>
    </w:lvl>
    <w:lvl w:ilvl="5" w:tplc="76EEFE14">
      <w:numFmt w:val="decimal"/>
      <w:lvlText w:val=""/>
      <w:lvlJc w:val="left"/>
    </w:lvl>
    <w:lvl w:ilvl="6" w:tplc="C798B61A">
      <w:numFmt w:val="decimal"/>
      <w:lvlText w:val=""/>
      <w:lvlJc w:val="left"/>
    </w:lvl>
    <w:lvl w:ilvl="7" w:tplc="B4D62AAA">
      <w:numFmt w:val="decimal"/>
      <w:lvlText w:val=""/>
      <w:lvlJc w:val="left"/>
    </w:lvl>
    <w:lvl w:ilvl="8" w:tplc="3AF42FEE">
      <w:numFmt w:val="decimal"/>
      <w:lvlText w:val=""/>
      <w:lvlJc w:val="left"/>
    </w:lvl>
  </w:abstractNum>
  <w:abstractNum w:abstractNumId="10" w15:restartNumberingAfterBreak="0">
    <w:nsid w:val="78E11E4B"/>
    <w:multiLevelType w:val="hybridMultilevel"/>
    <w:tmpl w:val="BB7C3C92"/>
    <w:lvl w:ilvl="0" w:tplc="16482A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4CDB3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052EB60">
      <w:numFmt w:val="decimal"/>
      <w:lvlText w:val=""/>
      <w:lvlJc w:val="left"/>
    </w:lvl>
    <w:lvl w:ilvl="3" w:tplc="64F47C46">
      <w:numFmt w:val="decimal"/>
      <w:lvlText w:val=""/>
      <w:lvlJc w:val="left"/>
    </w:lvl>
    <w:lvl w:ilvl="4" w:tplc="16A8A09A">
      <w:numFmt w:val="decimal"/>
      <w:lvlText w:val=""/>
      <w:lvlJc w:val="left"/>
    </w:lvl>
    <w:lvl w:ilvl="5" w:tplc="B78C02EA">
      <w:numFmt w:val="decimal"/>
      <w:lvlText w:val=""/>
      <w:lvlJc w:val="left"/>
    </w:lvl>
    <w:lvl w:ilvl="6" w:tplc="339A2932">
      <w:numFmt w:val="decimal"/>
      <w:lvlText w:val=""/>
      <w:lvlJc w:val="left"/>
    </w:lvl>
    <w:lvl w:ilvl="7" w:tplc="F1444248">
      <w:numFmt w:val="decimal"/>
      <w:lvlText w:val=""/>
      <w:lvlJc w:val="left"/>
    </w:lvl>
    <w:lvl w:ilvl="8" w:tplc="411E9B8C">
      <w:numFmt w:val="decimal"/>
      <w:lvlText w:val=""/>
      <w:lvlJc w:val="left"/>
    </w:lvl>
  </w:abstractNum>
  <w:abstractNum w:abstractNumId="11" w15:restartNumberingAfterBreak="0">
    <w:nsid w:val="7A125407"/>
    <w:multiLevelType w:val="hybridMultilevel"/>
    <w:tmpl w:val="9486595C"/>
    <w:lvl w:ilvl="0" w:tplc="AC6E73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DAE51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4206D2A">
      <w:numFmt w:val="decimal"/>
      <w:lvlText w:val=""/>
      <w:lvlJc w:val="left"/>
    </w:lvl>
    <w:lvl w:ilvl="3" w:tplc="69382BAE">
      <w:numFmt w:val="decimal"/>
      <w:lvlText w:val=""/>
      <w:lvlJc w:val="left"/>
    </w:lvl>
    <w:lvl w:ilvl="4" w:tplc="03A65846">
      <w:numFmt w:val="decimal"/>
      <w:lvlText w:val=""/>
      <w:lvlJc w:val="left"/>
    </w:lvl>
    <w:lvl w:ilvl="5" w:tplc="D31A30BC">
      <w:numFmt w:val="decimal"/>
      <w:lvlText w:val=""/>
      <w:lvlJc w:val="left"/>
    </w:lvl>
    <w:lvl w:ilvl="6" w:tplc="19F4EA54">
      <w:numFmt w:val="decimal"/>
      <w:lvlText w:val=""/>
      <w:lvlJc w:val="left"/>
    </w:lvl>
    <w:lvl w:ilvl="7" w:tplc="4CB40298">
      <w:numFmt w:val="decimal"/>
      <w:lvlText w:val=""/>
      <w:lvlJc w:val="left"/>
    </w:lvl>
    <w:lvl w:ilvl="8" w:tplc="BA04B67E">
      <w:numFmt w:val="decimal"/>
      <w:lvlText w:val=""/>
      <w:lvlJc w:val="left"/>
    </w:lvl>
  </w:abstractNum>
  <w:abstractNum w:abstractNumId="12" w15:restartNumberingAfterBreak="0">
    <w:nsid w:val="7C77342A"/>
    <w:multiLevelType w:val="hybridMultilevel"/>
    <w:tmpl w:val="DAF20776"/>
    <w:lvl w:ilvl="0" w:tplc="B4B079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A8F5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4685A6E">
      <w:numFmt w:val="decimal"/>
      <w:lvlText w:val=""/>
      <w:lvlJc w:val="left"/>
    </w:lvl>
    <w:lvl w:ilvl="3" w:tplc="9008ECE4">
      <w:numFmt w:val="decimal"/>
      <w:lvlText w:val=""/>
      <w:lvlJc w:val="left"/>
    </w:lvl>
    <w:lvl w:ilvl="4" w:tplc="9CF83DE0">
      <w:numFmt w:val="decimal"/>
      <w:lvlText w:val=""/>
      <w:lvlJc w:val="left"/>
    </w:lvl>
    <w:lvl w:ilvl="5" w:tplc="3FB80A00">
      <w:numFmt w:val="decimal"/>
      <w:lvlText w:val=""/>
      <w:lvlJc w:val="left"/>
    </w:lvl>
    <w:lvl w:ilvl="6" w:tplc="F31055E2">
      <w:numFmt w:val="decimal"/>
      <w:lvlText w:val=""/>
      <w:lvlJc w:val="left"/>
    </w:lvl>
    <w:lvl w:ilvl="7" w:tplc="4148CF78">
      <w:numFmt w:val="decimal"/>
      <w:lvlText w:val=""/>
      <w:lvlJc w:val="left"/>
    </w:lvl>
    <w:lvl w:ilvl="8" w:tplc="EA3EE36A">
      <w:numFmt w:val="decimal"/>
      <w:lvlText w:val=""/>
      <w:lvlJc w:val="left"/>
    </w:lvl>
  </w:abstractNum>
  <w:abstractNum w:abstractNumId="13" w15:restartNumberingAfterBreak="0">
    <w:nsid w:val="7E94398A"/>
    <w:multiLevelType w:val="hybridMultilevel"/>
    <w:tmpl w:val="522A6F96"/>
    <w:lvl w:ilvl="0" w:tplc="705271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1E8DC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C16B5A6">
      <w:numFmt w:val="decimal"/>
      <w:lvlText w:val=""/>
      <w:lvlJc w:val="left"/>
    </w:lvl>
    <w:lvl w:ilvl="3" w:tplc="31DE9808">
      <w:numFmt w:val="decimal"/>
      <w:lvlText w:val=""/>
      <w:lvlJc w:val="left"/>
    </w:lvl>
    <w:lvl w:ilvl="4" w:tplc="EE42105C">
      <w:numFmt w:val="decimal"/>
      <w:lvlText w:val=""/>
      <w:lvlJc w:val="left"/>
    </w:lvl>
    <w:lvl w:ilvl="5" w:tplc="E940C420">
      <w:numFmt w:val="decimal"/>
      <w:lvlText w:val=""/>
      <w:lvlJc w:val="left"/>
    </w:lvl>
    <w:lvl w:ilvl="6" w:tplc="87DCA440">
      <w:numFmt w:val="decimal"/>
      <w:lvlText w:val=""/>
      <w:lvlJc w:val="left"/>
    </w:lvl>
    <w:lvl w:ilvl="7" w:tplc="C5FE3286">
      <w:numFmt w:val="decimal"/>
      <w:lvlText w:val=""/>
      <w:lvlJc w:val="left"/>
    </w:lvl>
    <w:lvl w:ilvl="8" w:tplc="9E42E8FA">
      <w:numFmt w:val="decimal"/>
      <w:lvlText w:val=""/>
      <w:lvlJc w:val="left"/>
    </w:lvl>
  </w:abstractNum>
  <w:num w:numId="1" w16cid:durableId="1213881265">
    <w:abstractNumId w:val="13"/>
  </w:num>
  <w:num w:numId="2" w16cid:durableId="449588007">
    <w:abstractNumId w:val="6"/>
  </w:num>
  <w:num w:numId="3" w16cid:durableId="275215984">
    <w:abstractNumId w:val="10"/>
  </w:num>
  <w:num w:numId="4" w16cid:durableId="1334526636">
    <w:abstractNumId w:val="5"/>
  </w:num>
  <w:num w:numId="5" w16cid:durableId="124734106">
    <w:abstractNumId w:val="11"/>
  </w:num>
  <w:num w:numId="6" w16cid:durableId="504169667">
    <w:abstractNumId w:val="0"/>
  </w:num>
  <w:num w:numId="7" w16cid:durableId="952252950">
    <w:abstractNumId w:val="4"/>
  </w:num>
  <w:num w:numId="8" w16cid:durableId="1077285853">
    <w:abstractNumId w:val="8"/>
  </w:num>
  <w:num w:numId="9" w16cid:durableId="835800813">
    <w:abstractNumId w:val="12"/>
  </w:num>
  <w:num w:numId="10" w16cid:durableId="1957442380">
    <w:abstractNumId w:val="1"/>
  </w:num>
  <w:num w:numId="11" w16cid:durableId="307444468">
    <w:abstractNumId w:val="7"/>
  </w:num>
  <w:num w:numId="12" w16cid:durableId="1167093516">
    <w:abstractNumId w:val="9"/>
  </w:num>
  <w:num w:numId="13" w16cid:durableId="719597166">
    <w:abstractNumId w:val="2"/>
  </w:num>
  <w:num w:numId="14" w16cid:durableId="909196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992"/>
    <w:rsid w:val="00244992"/>
    <w:rsid w:val="00941C59"/>
    <w:rsid w:val="00E3544E"/>
    <w:rsid w:val="00E5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6BF0CCE5"/>
  <w15:docId w15:val="{61F682B7-0F40-447F-8D98-3E725A43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E51A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1A20"/>
    <w:rPr>
      <w:rFonts w:eastAsiaTheme="minorHAnsi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51A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1A20"/>
    <w:rPr>
      <w:rFonts w:eastAsia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Yi-Jung Chiang</cp:lastModifiedBy>
  <cp:revision>2</cp:revision>
  <dcterms:created xsi:type="dcterms:W3CDTF">2026-05-27T07:23:00Z</dcterms:created>
  <dcterms:modified xsi:type="dcterms:W3CDTF">2026-05-27T07:35:00Z</dcterms:modified>
</cp:coreProperties>
</file>