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2D906D" w14:textId="39F605A0" w:rsidR="00256859" w:rsidRDefault="00256859" w:rsidP="00256859">
      <w:pPr>
        <w:pStyle w:val="a9"/>
        <w:numPr>
          <w:ilvl w:val="0"/>
          <w:numId w:val="2"/>
        </w:numPr>
      </w:pPr>
      <w:r>
        <w:t>D</w:t>
      </w:r>
      <w:r>
        <w:rPr>
          <w:rFonts w:hint="eastAsia"/>
        </w:rPr>
        <w:t xml:space="preserve">ata from </w:t>
      </w:r>
      <w:proofErr w:type="spellStart"/>
      <w:r w:rsidRPr="00256859">
        <w:t>levittbernstein</w:t>
      </w:r>
      <w:proofErr w:type="spellEnd"/>
    </w:p>
    <w:p w14:paraId="29712B23" w14:textId="767A3AC5" w:rsidR="00256859" w:rsidRPr="00256859" w:rsidRDefault="00256859" w:rsidP="00256859">
      <w:r w:rsidRPr="00256859">
        <w:t>Project Details:</w:t>
      </w:r>
    </w:p>
    <w:p w14:paraId="7590AB7D" w14:textId="77777777" w:rsidR="00256859" w:rsidRPr="00256859" w:rsidRDefault="00256859" w:rsidP="00256859">
      <w:r w:rsidRPr="00256859">
        <w:t>A unique, ambitious, seven-sided theatre-in-the-round, designed within a grand Edwardian Cotton Exchange in Manchester.</w:t>
      </w:r>
    </w:p>
    <w:p w14:paraId="4A0FC914" w14:textId="77777777" w:rsidR="00256859" w:rsidRPr="00256859" w:rsidRDefault="00256859" w:rsidP="00256859">
      <w:r w:rsidRPr="00256859">
        <w:t>Client: Royal Exchange Theatre Company</w:t>
      </w:r>
    </w:p>
    <w:p w14:paraId="5AA1E90B" w14:textId="77777777" w:rsidR="00256859" w:rsidRPr="00256859" w:rsidRDefault="00256859" w:rsidP="00256859">
      <w:r w:rsidRPr="00256859">
        <w:t>Construction Value: £18.5m</w:t>
      </w:r>
    </w:p>
    <w:p w14:paraId="1076309A" w14:textId="77777777" w:rsidR="00256859" w:rsidRPr="00256859" w:rsidRDefault="00256859" w:rsidP="00256859">
      <w:r w:rsidRPr="00256859">
        <w:t>Completion: 1976 (first works) and 1998 (second works)</w:t>
      </w:r>
    </w:p>
    <w:p w14:paraId="2133431D" w14:textId="77777777" w:rsidR="00256859" w:rsidRPr="00256859" w:rsidRDefault="00256859" w:rsidP="00256859">
      <w:r w:rsidRPr="00256859">
        <w:t>Location: Manchester</w:t>
      </w:r>
    </w:p>
    <w:p w14:paraId="46A267BB" w14:textId="77777777" w:rsidR="00256859" w:rsidRPr="00256859" w:rsidRDefault="00256859" w:rsidP="00256859">
      <w:r w:rsidRPr="00256859">
        <w:t>Awards:</w:t>
      </w:r>
    </w:p>
    <w:p w14:paraId="5F72539D" w14:textId="77777777" w:rsidR="00256859" w:rsidRPr="00256859" w:rsidRDefault="00256859" w:rsidP="00256859">
      <w:pPr>
        <w:numPr>
          <w:ilvl w:val="0"/>
          <w:numId w:val="1"/>
        </w:numPr>
      </w:pPr>
      <w:r w:rsidRPr="00256859">
        <w:t xml:space="preserve">Manchester Society of Architects’ 160 </w:t>
      </w:r>
      <w:proofErr w:type="spellStart"/>
      <w:r w:rsidRPr="00256859">
        <w:t>Favourite</w:t>
      </w:r>
      <w:proofErr w:type="spellEnd"/>
      <w:r w:rsidRPr="00256859">
        <w:t xml:space="preserve"> Building – The People’s Choice, 2025: Winner</w:t>
      </w:r>
    </w:p>
    <w:p w14:paraId="3FFE9057" w14:textId="77777777" w:rsidR="00256859" w:rsidRPr="00256859" w:rsidRDefault="00256859" w:rsidP="00256859">
      <w:pPr>
        <w:numPr>
          <w:ilvl w:val="0"/>
          <w:numId w:val="1"/>
        </w:numPr>
      </w:pPr>
      <w:r w:rsidRPr="00256859">
        <w:t>Civic Trust Awards 2000: Commendation</w:t>
      </w:r>
    </w:p>
    <w:p w14:paraId="23F43F6F" w14:textId="77777777" w:rsidR="00256859" w:rsidRPr="00256859" w:rsidRDefault="00256859" w:rsidP="00256859">
      <w:pPr>
        <w:numPr>
          <w:ilvl w:val="0"/>
          <w:numId w:val="1"/>
        </w:numPr>
      </w:pPr>
      <w:r w:rsidRPr="00256859">
        <w:t>RIBA Awards 1977: Winner</w:t>
      </w:r>
    </w:p>
    <w:p w14:paraId="6C325964" w14:textId="77777777" w:rsidR="00256859" w:rsidRPr="00256859" w:rsidRDefault="00256859" w:rsidP="00256859">
      <w:pPr>
        <w:numPr>
          <w:ilvl w:val="0"/>
          <w:numId w:val="1"/>
        </w:numPr>
      </w:pPr>
      <w:r w:rsidRPr="00256859">
        <w:t>The Times RICS Conservation Awards 1977: Commendation</w:t>
      </w:r>
    </w:p>
    <w:p w14:paraId="629C49E3" w14:textId="77777777" w:rsidR="00256859" w:rsidRPr="00256859" w:rsidRDefault="00256859" w:rsidP="00256859">
      <w:pPr>
        <w:numPr>
          <w:ilvl w:val="0"/>
          <w:numId w:val="1"/>
        </w:numPr>
      </w:pPr>
      <w:r w:rsidRPr="00256859">
        <w:t>Structural Steel Classics Awards 1906-86: Recipient</w:t>
      </w:r>
    </w:p>
    <w:p w14:paraId="15C33923" w14:textId="77777777" w:rsidR="00256859" w:rsidRDefault="00256859" w:rsidP="00256859"/>
    <w:p w14:paraId="32658460" w14:textId="07B06945" w:rsidR="00256859" w:rsidRPr="00256859" w:rsidRDefault="00256859" w:rsidP="00256859">
      <w:r w:rsidRPr="00256859">
        <w:t>Where we started</w:t>
      </w:r>
    </w:p>
    <w:p w14:paraId="7B9420D3" w14:textId="77777777" w:rsidR="00256859" w:rsidRDefault="00256859" w:rsidP="00256859">
      <w:r w:rsidRPr="00256859">
        <w:t>We were initially invited to work on the Royal Exchange project in the 1970s by a nascent theatre company, led by Braham Murray, Michael Elliott, James Maxwell, Casper Wrede and Richard Negri. Together, they had a vision for an immersive theatre experience for both performers and the audience. All they needed was somewhere to put this into action.</w:t>
      </w:r>
    </w:p>
    <w:p w14:paraId="7202D41E" w14:textId="31BE6989" w:rsidR="00256859" w:rsidRDefault="00256859" w:rsidP="00256859">
      <w:r w:rsidRPr="00256859">
        <w:t xml:space="preserve">A home was eventually found in the Royal Exchange, a vast, regal, three-domed Edwardian building in the </w:t>
      </w:r>
      <w:proofErr w:type="spellStart"/>
      <w:r w:rsidRPr="00256859">
        <w:t>centre</w:t>
      </w:r>
      <w:proofErr w:type="spellEnd"/>
      <w:r w:rsidRPr="00256859">
        <w:t xml:space="preserve"> of Manchester. Originally built to trade cotton at the height of the city’s industrial </w:t>
      </w:r>
      <w:proofErr w:type="gramStart"/>
      <w:r w:rsidRPr="00256859">
        <w:t>pomp</w:t>
      </w:r>
      <w:proofErr w:type="gramEnd"/>
      <w:r w:rsidRPr="00256859">
        <w:t xml:space="preserve">, it </w:t>
      </w:r>
      <w:proofErr w:type="gramStart"/>
      <w:r w:rsidRPr="00256859">
        <w:t>had closed</w:t>
      </w:r>
      <w:proofErr w:type="gramEnd"/>
      <w:r w:rsidRPr="00256859">
        <w:t xml:space="preserve"> in </w:t>
      </w:r>
      <w:proofErr w:type="gramStart"/>
      <w:r w:rsidRPr="00256859">
        <w:t>1968</w:t>
      </w:r>
      <w:proofErr w:type="gramEnd"/>
      <w:r w:rsidRPr="00256859">
        <w:t xml:space="preserve"> and the Grade II listing ruled out many conventional uses. Having tested its viability with a season of productions, the theatre company negotiated a lease and asked us to develop </w:t>
      </w:r>
      <w:r w:rsidRPr="00256859">
        <w:lastRenderedPageBreak/>
        <w:t>their concept of a theatre-in-the-round into a permanent fixture.</w:t>
      </w:r>
      <w:r w:rsidRPr="00256859">
        <w:rPr>
          <w:rFonts w:ascii="FoundersGrotesk-Regular" w:hAnsi="FoundersGrotesk-Regular"/>
          <w:color w:val="363A36"/>
          <w:sz w:val="30"/>
          <w:szCs w:val="30"/>
          <w:shd w:val="clear" w:color="auto" w:fill="F6F2F2"/>
        </w:rPr>
        <w:t xml:space="preserve"> </w:t>
      </w:r>
      <w:r w:rsidRPr="00256859">
        <w:t>Our clients were a group of the company’s artistic directors, designers, actors and technicians, all passionate about their shared vision and the potential of this glorious space. They didn’t want their architects to have any preconceptions about what a theatre should look like or how it should function, and we were appointed on the basis that we had no arts experience whatsoever – the mark of a brave and imaginative client.</w:t>
      </w:r>
    </w:p>
    <w:p w14:paraId="4B95D2B1" w14:textId="1A5C15FF" w:rsidR="00256859" w:rsidRDefault="00256859" w:rsidP="00256859">
      <w:r w:rsidRPr="00256859">
        <w:t xml:space="preserve">This project was a true collaboration and through a constant exchange of ideas, a building slowly emerged. From the start, we envisaged a lightweight structure boldly inhabiting </w:t>
      </w:r>
      <w:proofErr w:type="gramStart"/>
      <w:r w:rsidRPr="00256859">
        <w:t>the space</w:t>
      </w:r>
      <w:proofErr w:type="gramEnd"/>
      <w:r w:rsidRPr="00256859">
        <w:t xml:space="preserve">, its modernity in stark contrast to the traditional </w:t>
      </w:r>
      <w:proofErr w:type="spellStart"/>
      <w:r w:rsidRPr="00256859">
        <w:t>splendour</w:t>
      </w:r>
      <w:proofErr w:type="spellEnd"/>
      <w:r w:rsidRPr="00256859">
        <w:t xml:space="preserve"> of the hall. The seven-sided construction spans between existing columns to avoid loading the delicate floor and, internally, an odd number of facets ensures that members of the audience do not directly face each other. The finished article was likened to the lunar module that had accomplished its epic journey just a few years earlier.</w:t>
      </w:r>
    </w:p>
    <w:p w14:paraId="701C648A" w14:textId="77777777" w:rsidR="00256859" w:rsidRPr="00256859" w:rsidRDefault="00256859" w:rsidP="00256859">
      <w:r w:rsidRPr="00256859">
        <w:t>The atmosphere is breathtaking as one enters that huge foyer space of the old nineteenth century Royal Exchange to see, suspended from the four monumental columns supporting the central dome of the building, this lunar space module-like structure of steel and glass that is the theatre itself.</w:t>
      </w:r>
    </w:p>
    <w:p w14:paraId="0C4A08A2" w14:textId="77777777" w:rsidR="00256859" w:rsidRPr="00256859" w:rsidRDefault="00256859" w:rsidP="00256859">
      <w:r w:rsidRPr="00256859">
        <w:t>Richard Negri, RET Director</w:t>
      </w:r>
    </w:p>
    <w:p w14:paraId="44008468" w14:textId="01FB91FC" w:rsidR="00256859" w:rsidRDefault="00256859" w:rsidP="00256859">
      <w:r w:rsidRPr="00256859">
        <w:t xml:space="preserve">As testament to the original vision of creating an experience, the design cleverly brings the audience and performers closer together. No member of the audience is more than ten </w:t>
      </w:r>
      <w:proofErr w:type="spellStart"/>
      <w:r w:rsidRPr="00256859">
        <w:t>metres</w:t>
      </w:r>
      <w:proofErr w:type="spellEnd"/>
      <w:r w:rsidRPr="00256859">
        <w:t xml:space="preserve"> from the </w:t>
      </w:r>
      <w:proofErr w:type="spellStart"/>
      <w:r w:rsidRPr="00256859">
        <w:t>centre</w:t>
      </w:r>
      <w:proofErr w:type="spellEnd"/>
      <w:r w:rsidRPr="00256859">
        <w:t xml:space="preserve"> of the stage, and the dressing rooms, along with the café and front of houses areas, are located within the hall. This means that the </w:t>
      </w:r>
      <w:proofErr w:type="gramStart"/>
      <w:r w:rsidRPr="00256859">
        <w:t>general public</w:t>
      </w:r>
      <w:proofErr w:type="gramEnd"/>
      <w:r w:rsidRPr="00256859">
        <w:t xml:space="preserve"> and actors share space beyond performances. Equally, the technical workings of the theatre, usually hidden from the audience, are visible on the outside of the structure.</w:t>
      </w:r>
    </w:p>
    <w:p w14:paraId="1E13B177" w14:textId="77777777" w:rsidR="00256859" w:rsidRPr="00256859" w:rsidRDefault="00256859" w:rsidP="00256859">
      <w:r w:rsidRPr="00256859">
        <w:t>The original design was completed in 1976, but just 20 years later, the 1996 bomb caused devastating damage. We were invited back to undertake the necessary restoration work and given the opportunity to make some radical changes to the rest of the space.</w:t>
      </w:r>
    </w:p>
    <w:p w14:paraId="748BDDDF" w14:textId="77777777" w:rsidR="00256859" w:rsidRPr="00256859" w:rsidRDefault="00256859" w:rsidP="00256859">
      <w:r w:rsidRPr="00256859">
        <w:lastRenderedPageBreak/>
        <w:t xml:space="preserve">A new entrance was inserted into the fabric of the old building with a </w:t>
      </w:r>
      <w:proofErr w:type="gramStart"/>
      <w:r w:rsidRPr="00256859">
        <w:t>lift up</w:t>
      </w:r>
      <w:proofErr w:type="gramEnd"/>
      <w:r w:rsidRPr="00256859">
        <w:t xml:space="preserve"> to a glass walkway, making the space-age module more visible to passers-by. A new </w:t>
      </w:r>
      <w:proofErr w:type="gramStart"/>
      <w:r w:rsidRPr="00256859">
        <w:t>120 seater</w:t>
      </w:r>
      <w:proofErr w:type="gramEnd"/>
      <w:r w:rsidRPr="00256859">
        <w:t xml:space="preserve"> studio space was also introduced into the old hall, enabling the theatre to develop ideas, test out new productions, and work with different audiences.</w:t>
      </w:r>
    </w:p>
    <w:p w14:paraId="2C24D3C8" w14:textId="688F0A1C" w:rsidR="00256859" w:rsidRPr="00256859" w:rsidRDefault="00C0595B" w:rsidP="00C0595B">
      <w:pPr>
        <w:pStyle w:val="a9"/>
        <w:numPr>
          <w:ilvl w:val="0"/>
          <w:numId w:val="2"/>
        </w:numPr>
        <w:rPr>
          <w:rFonts w:hint="eastAsia"/>
        </w:rPr>
      </w:pPr>
      <w:r>
        <w:t>D</w:t>
      </w:r>
      <w:r>
        <w:rPr>
          <w:rFonts w:hint="eastAsia"/>
        </w:rPr>
        <w:t xml:space="preserve">ata from </w:t>
      </w:r>
      <w:proofErr w:type="spellStart"/>
      <w:r w:rsidRPr="00C0595B">
        <w:t>architectsjourna</w:t>
      </w:r>
      <w:r>
        <w:rPr>
          <w:rFonts w:hint="eastAsia"/>
        </w:rPr>
        <w:t>l</w:t>
      </w:r>
      <w:proofErr w:type="spellEnd"/>
    </w:p>
    <w:p w14:paraId="6A73E332" w14:textId="77777777" w:rsidR="00C0595B" w:rsidRDefault="00C0595B" w:rsidP="00C0595B">
      <w:r>
        <w:t>This seven-sided theatre in the round, suspended within Manchester's three-domed Edwardian Cotton Exchange and designed by Levitt Bernstein in 1976 is one of more than 3,200 projects that you can find in the AJ Buildings Library</w:t>
      </w:r>
    </w:p>
    <w:p w14:paraId="7ADFD764" w14:textId="77777777" w:rsidR="00C0595B" w:rsidRDefault="00C0595B" w:rsidP="00C0595B"/>
    <w:p w14:paraId="78571C8C" w14:textId="77777777" w:rsidR="00C0595B" w:rsidRDefault="00C0595B" w:rsidP="00C0595B">
      <w:r>
        <w:t xml:space="preserve">The design of the auditorium aimed to give a lightness and character </w:t>
      </w:r>
      <w:proofErr w:type="gramStart"/>
      <w:r>
        <w:t>opposite to</w:t>
      </w:r>
      <w:proofErr w:type="gramEnd"/>
      <w:r>
        <w:t xml:space="preserve"> that of Manchester’s Edwardian Cotton Exchange in which </w:t>
      </w:r>
      <w:proofErr w:type="gramStart"/>
      <w:r>
        <w:t>is it</w:t>
      </w:r>
      <w:proofErr w:type="gramEnd"/>
      <w:r>
        <w:t xml:space="preserve"> housed. It was therefore designed as a suspended seven-sided theatre in the round.</w:t>
      </w:r>
    </w:p>
    <w:p w14:paraId="40EF2590" w14:textId="77777777" w:rsidR="00C0595B" w:rsidRDefault="00C0595B" w:rsidP="00C0595B"/>
    <w:p w14:paraId="3180E526" w14:textId="77777777" w:rsidR="00C0595B" w:rsidRDefault="00C0595B" w:rsidP="00C0595B">
      <w:r>
        <w:t>All other areas of the theatre, including the restaurant, rehearsal rooms, offices, dressing rooms and service areas, were incorporated within the original cotton exchange building.</w:t>
      </w:r>
    </w:p>
    <w:p w14:paraId="38E3A27F" w14:textId="77777777" w:rsidR="00C0595B" w:rsidRDefault="00C0595B" w:rsidP="00C0595B"/>
    <w:p w14:paraId="0FDDA4C0" w14:textId="77777777" w:rsidR="00C0595B" w:rsidRDefault="00C0595B" w:rsidP="00C0595B">
      <w:r>
        <w:t>The structure is carried on the four brick piers which also hold the vast dome of the original building. A 30 x 21m rectangle sits between the piers and dictates the size of the theatre. Four trusses form the principal walls of the module with additional trusses forming the roof. Steel mesh panels, toughened glass and steel decking enclose the structure.</w:t>
      </w:r>
    </w:p>
    <w:p w14:paraId="45061F95" w14:textId="77777777" w:rsidR="00C0595B" w:rsidRDefault="00C0595B" w:rsidP="00C0595B"/>
    <w:p w14:paraId="44E88951" w14:textId="16F67C0F" w:rsidR="00707EA2" w:rsidRDefault="00C0595B" w:rsidP="00C0595B">
      <w:r>
        <w:t>The theatre provides a separate acoustic entity with seating for 700 people spread between cantilevered galleries and the existing floor plate.</w:t>
      </w:r>
    </w:p>
    <w:p w14:paraId="7182F48E" w14:textId="77777777" w:rsidR="00C0595B" w:rsidRPr="00C0595B" w:rsidRDefault="00C0595B" w:rsidP="00C0595B">
      <w:r w:rsidRPr="00C0595B">
        <w:t>Project data</w:t>
      </w:r>
    </w:p>
    <w:p w14:paraId="47ECE62B" w14:textId="77777777" w:rsidR="00C0595B" w:rsidRPr="00C0595B" w:rsidRDefault="00C0595B" w:rsidP="00C0595B">
      <w:r w:rsidRPr="00C0595B">
        <w:rPr>
          <w:b/>
          <w:bCs/>
        </w:rPr>
        <w:t>Begun</w:t>
      </w:r>
      <w:r w:rsidRPr="00C0595B">
        <w:t> 1975</w:t>
      </w:r>
      <w:r w:rsidRPr="00C0595B">
        <w:br/>
      </w:r>
      <w:r w:rsidRPr="00C0595B">
        <w:rPr>
          <w:b/>
          <w:bCs/>
        </w:rPr>
        <w:t>Tender date</w:t>
      </w:r>
      <w:r w:rsidRPr="00C0595B">
        <w:t> 1974</w:t>
      </w:r>
      <w:r w:rsidRPr="00C0595B">
        <w:br/>
      </w:r>
      <w:r w:rsidRPr="00C0595B">
        <w:rPr>
          <w:b/>
          <w:bCs/>
        </w:rPr>
        <w:lastRenderedPageBreak/>
        <w:t>Completed</w:t>
      </w:r>
      <w:r w:rsidRPr="00C0595B">
        <w:t> 1976</w:t>
      </w:r>
      <w:r w:rsidRPr="00C0595B">
        <w:br/>
      </w:r>
      <w:r w:rsidRPr="00C0595B">
        <w:rPr>
          <w:b/>
          <w:bCs/>
        </w:rPr>
        <w:t>Total cost</w:t>
      </w:r>
      <w:r w:rsidRPr="00C0595B">
        <w:t> £775,000</w:t>
      </w:r>
      <w:r w:rsidRPr="00C0595B">
        <w:br/>
      </w:r>
      <w:r w:rsidRPr="00C0595B">
        <w:rPr>
          <w:b/>
          <w:bCs/>
        </w:rPr>
        <w:t>Architect</w:t>
      </w:r>
      <w:r w:rsidRPr="00C0595B">
        <w:t> Levitt Bernstein</w:t>
      </w:r>
      <w:r w:rsidRPr="00C0595B">
        <w:br/>
      </w:r>
      <w:r w:rsidRPr="00C0595B">
        <w:rPr>
          <w:b/>
          <w:bCs/>
        </w:rPr>
        <w:t>Client</w:t>
      </w:r>
      <w:r w:rsidRPr="00C0595B">
        <w:t> Royal Exchange Theatre Company</w:t>
      </w:r>
      <w:r w:rsidRPr="00C0595B">
        <w:br/>
      </w:r>
      <w:r w:rsidRPr="00C0595B">
        <w:rPr>
          <w:b/>
          <w:bCs/>
        </w:rPr>
        <w:t>Structural engineer</w:t>
      </w:r>
      <w:r w:rsidRPr="00C0595B">
        <w:t> Ove Arup &amp; Partners</w:t>
      </w:r>
      <w:r w:rsidRPr="00C0595B">
        <w:br/>
      </w:r>
      <w:r w:rsidRPr="00C0595B">
        <w:rPr>
          <w:b/>
          <w:bCs/>
        </w:rPr>
        <w:t>Quantity surveyor</w:t>
      </w:r>
      <w:r w:rsidRPr="00C0595B">
        <w:t> Mahon &amp; Scears</w:t>
      </w:r>
      <w:r w:rsidRPr="00C0595B">
        <w:br/>
      </w:r>
      <w:r w:rsidRPr="00C0595B">
        <w:rPr>
          <w:b/>
          <w:bCs/>
        </w:rPr>
        <w:t>Services engineer</w:t>
      </w:r>
      <w:r w:rsidRPr="00C0595B">
        <w:t> Max Fordham and Partners</w:t>
      </w:r>
      <w:r w:rsidRPr="00C0595B">
        <w:br/>
      </w:r>
      <w:r w:rsidRPr="00C0595B">
        <w:rPr>
          <w:b/>
          <w:bCs/>
        </w:rPr>
        <w:t>Quantity surveyor</w:t>
      </w:r>
      <w:r w:rsidRPr="00C0595B">
        <w:t> Monk and Dunstone</w:t>
      </w:r>
      <w:r w:rsidRPr="00C0595B">
        <w:br/>
      </w:r>
      <w:r w:rsidRPr="00C0595B">
        <w:rPr>
          <w:b/>
          <w:bCs/>
        </w:rPr>
        <w:t>Theatre services</w:t>
      </w:r>
      <w:r w:rsidRPr="00C0595B">
        <w:t> Theatre Projects</w:t>
      </w:r>
      <w:r w:rsidRPr="00C0595B">
        <w:br/>
      </w:r>
      <w:r w:rsidRPr="00C0595B">
        <w:rPr>
          <w:b/>
          <w:bCs/>
        </w:rPr>
        <w:t>Acoustics</w:t>
      </w:r>
      <w:r w:rsidRPr="00C0595B">
        <w:t> D. K. Jones</w:t>
      </w:r>
      <w:r w:rsidRPr="00C0595B">
        <w:br/>
      </w:r>
      <w:r w:rsidRPr="00C0595B">
        <w:rPr>
          <w:b/>
          <w:bCs/>
        </w:rPr>
        <w:t>Sound</w:t>
      </w:r>
      <w:r w:rsidRPr="00C0595B">
        <w:t> Ian Gibson</w:t>
      </w:r>
    </w:p>
    <w:p w14:paraId="552D07DD" w14:textId="77777777" w:rsidR="00C0595B" w:rsidRPr="00C0595B" w:rsidRDefault="00C0595B" w:rsidP="00C0595B"/>
    <w:sectPr w:rsidR="00C0595B" w:rsidRPr="00C0595B">
      <w:pgSz w:w="11906" w:h="16838"/>
      <w:pgMar w:top="1440" w:right="1800" w:bottom="1440" w:left="180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84616E" w14:textId="77777777" w:rsidR="0085754C" w:rsidRDefault="0085754C" w:rsidP="00256859">
      <w:pPr>
        <w:spacing w:after="0" w:line="240" w:lineRule="auto"/>
      </w:pPr>
      <w:r>
        <w:separator/>
      </w:r>
    </w:p>
  </w:endnote>
  <w:endnote w:type="continuationSeparator" w:id="0">
    <w:p w14:paraId="4A529E6F" w14:textId="77777777" w:rsidR="0085754C" w:rsidRDefault="0085754C" w:rsidP="002568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Aptos Display">
    <w:charset w:val="00"/>
    <w:family w:val="swiss"/>
    <w:pitch w:val="variable"/>
    <w:sig w:usb0="20000287" w:usb1="00000003" w:usb2="00000000" w:usb3="00000000" w:csb0="0000019F" w:csb1="00000000"/>
  </w:font>
  <w:font w:name="FoundersGrotesk-Regular">
    <w:altName w:val="Cambria"/>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1BB464" w14:textId="77777777" w:rsidR="0085754C" w:rsidRDefault="0085754C" w:rsidP="00256859">
      <w:pPr>
        <w:spacing w:after="0" w:line="240" w:lineRule="auto"/>
      </w:pPr>
      <w:r>
        <w:separator/>
      </w:r>
    </w:p>
  </w:footnote>
  <w:footnote w:type="continuationSeparator" w:id="0">
    <w:p w14:paraId="736D62BD" w14:textId="77777777" w:rsidR="0085754C" w:rsidRDefault="0085754C" w:rsidP="0025685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0404DC"/>
    <w:multiLevelType w:val="multilevel"/>
    <w:tmpl w:val="4E547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7395D6C"/>
    <w:multiLevelType w:val="hybridMultilevel"/>
    <w:tmpl w:val="778CB904"/>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num w:numId="1" w16cid:durableId="329021299">
    <w:abstractNumId w:val="0"/>
  </w:num>
  <w:num w:numId="2" w16cid:durableId="33156506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8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27C1"/>
    <w:rsid w:val="00256859"/>
    <w:rsid w:val="003E4DE6"/>
    <w:rsid w:val="00511441"/>
    <w:rsid w:val="00707EA2"/>
    <w:rsid w:val="0085754C"/>
    <w:rsid w:val="009D7B99"/>
    <w:rsid w:val="00C0595B"/>
    <w:rsid w:val="00E827C1"/>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BD0789F"/>
  <w15:chartTrackingRefBased/>
  <w15:docId w15:val="{9A5072AE-5CE9-4BDB-AE76-F1126B120B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E827C1"/>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E827C1"/>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unhideWhenUsed/>
    <w:qFormat/>
    <w:rsid w:val="00E827C1"/>
    <w:pPr>
      <w:keepNext/>
      <w:keepLines/>
      <w:spacing w:before="160" w:after="40"/>
      <w:outlineLvl w:val="2"/>
    </w:pPr>
    <w:rPr>
      <w:rFonts w:eastAsiaTheme="majorEastAsia" w:cstheme="majorBidi"/>
      <w:color w:val="0F4761" w:themeColor="accent1" w:themeShade="BF"/>
      <w:sz w:val="32"/>
      <w:szCs w:val="32"/>
    </w:rPr>
  </w:style>
  <w:style w:type="paragraph" w:styleId="4">
    <w:name w:val="heading 4"/>
    <w:basedOn w:val="a"/>
    <w:next w:val="a"/>
    <w:link w:val="40"/>
    <w:uiPriority w:val="9"/>
    <w:unhideWhenUsed/>
    <w:qFormat/>
    <w:rsid w:val="00E827C1"/>
    <w:pPr>
      <w:keepNext/>
      <w:keepLines/>
      <w:spacing w:before="160" w:after="40"/>
      <w:outlineLvl w:val="3"/>
    </w:pPr>
    <w:rPr>
      <w:rFonts w:eastAsiaTheme="majorEastAsia" w:cstheme="majorBidi"/>
      <w:color w:val="0F4761" w:themeColor="accent1" w:themeShade="BF"/>
      <w:sz w:val="28"/>
      <w:szCs w:val="28"/>
    </w:rPr>
  </w:style>
  <w:style w:type="paragraph" w:styleId="5">
    <w:name w:val="heading 5"/>
    <w:basedOn w:val="a"/>
    <w:next w:val="a"/>
    <w:link w:val="50"/>
    <w:uiPriority w:val="9"/>
    <w:semiHidden/>
    <w:unhideWhenUsed/>
    <w:qFormat/>
    <w:rsid w:val="00E827C1"/>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E827C1"/>
    <w:pPr>
      <w:keepNext/>
      <w:keepLines/>
      <w:spacing w:before="40" w:after="0"/>
      <w:outlineLvl w:val="5"/>
    </w:pPr>
    <w:rPr>
      <w:rFonts w:eastAsiaTheme="majorEastAsia" w:cstheme="majorBidi"/>
      <w:color w:val="595959" w:themeColor="text1" w:themeTint="A6"/>
    </w:rPr>
  </w:style>
  <w:style w:type="paragraph" w:styleId="7">
    <w:name w:val="heading 7"/>
    <w:basedOn w:val="a"/>
    <w:next w:val="a"/>
    <w:link w:val="70"/>
    <w:uiPriority w:val="9"/>
    <w:semiHidden/>
    <w:unhideWhenUsed/>
    <w:qFormat/>
    <w:rsid w:val="00E827C1"/>
    <w:pPr>
      <w:keepNext/>
      <w:keepLines/>
      <w:spacing w:before="40" w:after="0"/>
      <w:ind w:leftChars="100" w:left="10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E827C1"/>
    <w:pPr>
      <w:keepNext/>
      <w:keepLines/>
      <w:spacing w:before="40" w:after="0"/>
      <w:ind w:leftChars="200" w:left="200"/>
      <w:outlineLvl w:val="7"/>
    </w:pPr>
    <w:rPr>
      <w:rFonts w:eastAsiaTheme="majorEastAsia" w:cstheme="majorBidi"/>
      <w:color w:val="272727" w:themeColor="text1" w:themeTint="D8"/>
    </w:rPr>
  </w:style>
  <w:style w:type="paragraph" w:styleId="9">
    <w:name w:val="heading 9"/>
    <w:basedOn w:val="a"/>
    <w:next w:val="a"/>
    <w:link w:val="90"/>
    <w:uiPriority w:val="9"/>
    <w:semiHidden/>
    <w:unhideWhenUsed/>
    <w:qFormat/>
    <w:rsid w:val="00E827C1"/>
    <w:pPr>
      <w:keepNext/>
      <w:keepLines/>
      <w:spacing w:before="40" w:after="0"/>
      <w:ind w:leftChars="300" w:left="30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rsid w:val="00E827C1"/>
    <w:rPr>
      <w:rFonts w:asciiTheme="majorHAnsi" w:eastAsiaTheme="majorEastAsia" w:hAnsiTheme="majorHAnsi" w:cstheme="majorBidi"/>
      <w:color w:val="0F4761" w:themeColor="accent1" w:themeShade="BF"/>
      <w:sz w:val="48"/>
      <w:szCs w:val="48"/>
    </w:rPr>
  </w:style>
  <w:style w:type="character" w:customStyle="1" w:styleId="20">
    <w:name w:val="標題 2 字元"/>
    <w:basedOn w:val="a0"/>
    <w:link w:val="2"/>
    <w:uiPriority w:val="9"/>
    <w:semiHidden/>
    <w:rsid w:val="00E827C1"/>
    <w:rPr>
      <w:rFonts w:asciiTheme="majorHAnsi" w:eastAsiaTheme="majorEastAsia" w:hAnsiTheme="majorHAnsi" w:cstheme="majorBidi"/>
      <w:color w:val="0F4761" w:themeColor="accent1" w:themeShade="BF"/>
      <w:sz w:val="40"/>
      <w:szCs w:val="40"/>
    </w:rPr>
  </w:style>
  <w:style w:type="character" w:customStyle="1" w:styleId="30">
    <w:name w:val="標題 3 字元"/>
    <w:basedOn w:val="a0"/>
    <w:link w:val="3"/>
    <w:uiPriority w:val="9"/>
    <w:rsid w:val="00E827C1"/>
    <w:rPr>
      <w:rFonts w:eastAsiaTheme="majorEastAsia" w:cstheme="majorBidi"/>
      <w:color w:val="0F4761" w:themeColor="accent1" w:themeShade="BF"/>
      <w:sz w:val="32"/>
      <w:szCs w:val="32"/>
    </w:rPr>
  </w:style>
  <w:style w:type="character" w:customStyle="1" w:styleId="40">
    <w:name w:val="標題 4 字元"/>
    <w:basedOn w:val="a0"/>
    <w:link w:val="4"/>
    <w:uiPriority w:val="9"/>
    <w:rsid w:val="00E827C1"/>
    <w:rPr>
      <w:rFonts w:eastAsiaTheme="majorEastAsia" w:cstheme="majorBidi"/>
      <w:color w:val="0F4761" w:themeColor="accent1" w:themeShade="BF"/>
      <w:sz w:val="28"/>
      <w:szCs w:val="28"/>
    </w:rPr>
  </w:style>
  <w:style w:type="character" w:customStyle="1" w:styleId="50">
    <w:name w:val="標題 5 字元"/>
    <w:basedOn w:val="a0"/>
    <w:link w:val="5"/>
    <w:uiPriority w:val="9"/>
    <w:semiHidden/>
    <w:rsid w:val="00E827C1"/>
    <w:rPr>
      <w:rFonts w:eastAsiaTheme="majorEastAsia" w:cstheme="majorBidi"/>
      <w:color w:val="0F4761" w:themeColor="accent1" w:themeShade="BF"/>
    </w:rPr>
  </w:style>
  <w:style w:type="character" w:customStyle="1" w:styleId="60">
    <w:name w:val="標題 6 字元"/>
    <w:basedOn w:val="a0"/>
    <w:link w:val="6"/>
    <w:uiPriority w:val="9"/>
    <w:semiHidden/>
    <w:rsid w:val="00E827C1"/>
    <w:rPr>
      <w:rFonts w:eastAsiaTheme="majorEastAsia" w:cstheme="majorBidi"/>
      <w:color w:val="595959" w:themeColor="text1" w:themeTint="A6"/>
    </w:rPr>
  </w:style>
  <w:style w:type="character" w:customStyle="1" w:styleId="70">
    <w:name w:val="標題 7 字元"/>
    <w:basedOn w:val="a0"/>
    <w:link w:val="7"/>
    <w:uiPriority w:val="9"/>
    <w:semiHidden/>
    <w:rsid w:val="00E827C1"/>
    <w:rPr>
      <w:rFonts w:eastAsiaTheme="majorEastAsia" w:cstheme="majorBidi"/>
      <w:color w:val="595959" w:themeColor="text1" w:themeTint="A6"/>
    </w:rPr>
  </w:style>
  <w:style w:type="character" w:customStyle="1" w:styleId="80">
    <w:name w:val="標題 8 字元"/>
    <w:basedOn w:val="a0"/>
    <w:link w:val="8"/>
    <w:uiPriority w:val="9"/>
    <w:semiHidden/>
    <w:rsid w:val="00E827C1"/>
    <w:rPr>
      <w:rFonts w:eastAsiaTheme="majorEastAsia" w:cstheme="majorBidi"/>
      <w:color w:val="272727" w:themeColor="text1" w:themeTint="D8"/>
    </w:rPr>
  </w:style>
  <w:style w:type="character" w:customStyle="1" w:styleId="90">
    <w:name w:val="標題 9 字元"/>
    <w:basedOn w:val="a0"/>
    <w:link w:val="9"/>
    <w:uiPriority w:val="9"/>
    <w:semiHidden/>
    <w:rsid w:val="00E827C1"/>
    <w:rPr>
      <w:rFonts w:eastAsiaTheme="majorEastAsia" w:cstheme="majorBidi"/>
      <w:color w:val="272727" w:themeColor="text1" w:themeTint="D8"/>
    </w:rPr>
  </w:style>
  <w:style w:type="paragraph" w:styleId="a3">
    <w:name w:val="Title"/>
    <w:basedOn w:val="a"/>
    <w:next w:val="a"/>
    <w:link w:val="a4"/>
    <w:uiPriority w:val="10"/>
    <w:qFormat/>
    <w:rsid w:val="00E827C1"/>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標題 字元"/>
    <w:basedOn w:val="a0"/>
    <w:link w:val="a3"/>
    <w:uiPriority w:val="10"/>
    <w:rsid w:val="00E827C1"/>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827C1"/>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標題 字元"/>
    <w:basedOn w:val="a0"/>
    <w:link w:val="a5"/>
    <w:uiPriority w:val="11"/>
    <w:rsid w:val="00E827C1"/>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E827C1"/>
    <w:pPr>
      <w:spacing w:before="160"/>
      <w:jc w:val="center"/>
    </w:pPr>
    <w:rPr>
      <w:i/>
      <w:iCs/>
      <w:color w:val="404040" w:themeColor="text1" w:themeTint="BF"/>
    </w:rPr>
  </w:style>
  <w:style w:type="character" w:customStyle="1" w:styleId="a8">
    <w:name w:val="引文 字元"/>
    <w:basedOn w:val="a0"/>
    <w:link w:val="a7"/>
    <w:uiPriority w:val="29"/>
    <w:rsid w:val="00E827C1"/>
    <w:rPr>
      <w:i/>
      <w:iCs/>
      <w:color w:val="404040" w:themeColor="text1" w:themeTint="BF"/>
    </w:rPr>
  </w:style>
  <w:style w:type="paragraph" w:styleId="a9">
    <w:name w:val="List Paragraph"/>
    <w:basedOn w:val="a"/>
    <w:uiPriority w:val="34"/>
    <w:qFormat/>
    <w:rsid w:val="00E827C1"/>
    <w:pPr>
      <w:ind w:left="720"/>
      <w:contextualSpacing/>
    </w:pPr>
  </w:style>
  <w:style w:type="character" w:styleId="aa">
    <w:name w:val="Intense Emphasis"/>
    <w:basedOn w:val="a0"/>
    <w:uiPriority w:val="21"/>
    <w:qFormat/>
    <w:rsid w:val="00E827C1"/>
    <w:rPr>
      <w:i/>
      <w:iCs/>
      <w:color w:val="0F4761" w:themeColor="accent1" w:themeShade="BF"/>
    </w:rPr>
  </w:style>
  <w:style w:type="paragraph" w:styleId="ab">
    <w:name w:val="Intense Quote"/>
    <w:basedOn w:val="a"/>
    <w:next w:val="a"/>
    <w:link w:val="ac"/>
    <w:uiPriority w:val="30"/>
    <w:qFormat/>
    <w:rsid w:val="00E827C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鮮明引文 字元"/>
    <w:basedOn w:val="a0"/>
    <w:link w:val="ab"/>
    <w:uiPriority w:val="30"/>
    <w:rsid w:val="00E827C1"/>
    <w:rPr>
      <w:i/>
      <w:iCs/>
      <w:color w:val="0F4761" w:themeColor="accent1" w:themeShade="BF"/>
    </w:rPr>
  </w:style>
  <w:style w:type="character" w:styleId="ad">
    <w:name w:val="Intense Reference"/>
    <w:basedOn w:val="a0"/>
    <w:uiPriority w:val="32"/>
    <w:qFormat/>
    <w:rsid w:val="00E827C1"/>
    <w:rPr>
      <w:b/>
      <w:bCs/>
      <w:smallCaps/>
      <w:color w:val="0F4761" w:themeColor="accent1" w:themeShade="BF"/>
      <w:spacing w:val="5"/>
    </w:rPr>
  </w:style>
  <w:style w:type="paragraph" w:styleId="ae">
    <w:name w:val="header"/>
    <w:basedOn w:val="a"/>
    <w:link w:val="af"/>
    <w:uiPriority w:val="99"/>
    <w:unhideWhenUsed/>
    <w:rsid w:val="00256859"/>
    <w:pPr>
      <w:tabs>
        <w:tab w:val="center" w:pos="4153"/>
        <w:tab w:val="right" w:pos="8306"/>
      </w:tabs>
      <w:snapToGrid w:val="0"/>
    </w:pPr>
    <w:rPr>
      <w:sz w:val="20"/>
      <w:szCs w:val="20"/>
    </w:rPr>
  </w:style>
  <w:style w:type="character" w:customStyle="1" w:styleId="af">
    <w:name w:val="頁首 字元"/>
    <w:basedOn w:val="a0"/>
    <w:link w:val="ae"/>
    <w:uiPriority w:val="99"/>
    <w:rsid w:val="00256859"/>
    <w:rPr>
      <w:sz w:val="20"/>
      <w:szCs w:val="20"/>
    </w:rPr>
  </w:style>
  <w:style w:type="paragraph" w:styleId="af0">
    <w:name w:val="footer"/>
    <w:basedOn w:val="a"/>
    <w:link w:val="af1"/>
    <w:uiPriority w:val="99"/>
    <w:unhideWhenUsed/>
    <w:rsid w:val="00256859"/>
    <w:pPr>
      <w:tabs>
        <w:tab w:val="center" w:pos="4153"/>
        <w:tab w:val="right" w:pos="8306"/>
      </w:tabs>
      <w:snapToGrid w:val="0"/>
    </w:pPr>
    <w:rPr>
      <w:sz w:val="20"/>
      <w:szCs w:val="20"/>
    </w:rPr>
  </w:style>
  <w:style w:type="character" w:customStyle="1" w:styleId="af1">
    <w:name w:val="頁尾 字元"/>
    <w:basedOn w:val="a0"/>
    <w:link w:val="af0"/>
    <w:uiPriority w:val="99"/>
    <w:rsid w:val="00256859"/>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4</Pages>
  <Words>804</Words>
  <Characters>4587</Characters>
  <Application>Microsoft Office Word</Application>
  <DocSecurity>0</DocSecurity>
  <Lines>38</Lines>
  <Paragraphs>10</Paragraphs>
  <ScaleCrop>false</ScaleCrop>
  <Company/>
  <LinksUpToDate>false</LinksUpToDate>
  <CharactersWithSpaces>5381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陳逸嘉 CHEN,YI-CHIA</dc:creator>
  <cp:keywords/>
  <dc:description/>
  <cp:lastModifiedBy>陳逸嘉 CHEN,YI-CHIA</cp:lastModifiedBy>
  <cp:revision>3</cp:revision>
  <dcterms:created xsi:type="dcterms:W3CDTF">2026-06-17T03:49:00Z</dcterms:created>
  <dcterms:modified xsi:type="dcterms:W3CDTF">2026-06-17T03:53:00Z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e954c233-d63a-42a9-8767-8cef939c50cd</vt:lpwstr>
  </property>
</Properties>
</file>