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v0.15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同一任务和证据下，只改变用户；匹配用户的结果必须优于错配结果，而且事实和共同质量不能变差。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这种差异是不是来自用户信息，而不是报告更长、格式更漂亮或说了更多好听的话？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完全一致。主榜评最终交付物；轻量轨迹和受控重跑只用于解释保持、偏离与恢复。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高质量不等于适合用户</w:t>
      </w:r>
    </w:p>
    <w:p>
      <w:r>
        <w:rPr>
          <w:rFonts w:ascii="Calibri" w:hAnsi="Calibri" w:eastAsia="PingFang SC"/>
        </w:rPr>
        <w:t>现有 Deep Research benchmark 大多关注：答案是否正确、搜索是否充分、引用是否可靠、报告是否完整。这些都重要，但它们回答的是“报告好不好”，没有直接回答“报告对这个用户好不好”。</w:t>
      </w:r>
    </w:p>
    <w:p>
      <w:r>
        <w:rPr>
          <w:rFonts w:ascii="Calibri" w:hAnsi="Calibri" w:eastAsia="PingFang SC"/>
        </w:rPr>
        <w:t>如果给 agent 一份 persona 后得分更高，仍然可能有三种替代解释：</w:t>
      </w:r>
    </w:p>
    <w:p>
      <w:pPr>
        <w:pStyle w:val="ListBullet"/>
      </w:pPr>
      <w:r>
        <w:rPr>
          <w:rFonts w:ascii="Calibri" w:hAnsi="Calibri" w:eastAsia="PingFang SC"/>
        </w:rPr>
        <w:t>persona 让 prompt 更长，模型因此写得更多；</w:t>
      </w:r>
    </w:p>
    <w:p>
      <w:pPr>
        <w:pStyle w:val="ListBullet"/>
      </w:pPr>
      <w:r>
        <w:rPr>
          <w:rFonts w:ascii="Calibri" w:hAnsi="Calibri" w:eastAsia="PingFang SC"/>
        </w:rPr>
        <w:t>judge 喜欢报告复述用户背景；</w:t>
      </w:r>
    </w:p>
    <w:p>
      <w:pPr>
        <w:pStyle w:val="ListBullet"/>
      </w:pPr>
      <w:r>
        <w:rPr>
          <w:rFonts w:ascii="Calibri" w:hAnsi="Calibri" w:eastAsia="PingFang SC"/>
        </w:rPr>
        <w:t>persona 给了额外任务信息，而不是个性化信息。</w:t>
      </w:r>
    </w:p>
    <w:p>
      <w:r>
        <w:rPr>
          <w:rFonts w:ascii="Calibri" w:hAnsi="Calibri" w:eastAsia="PingFang SC"/>
        </w:rPr>
        <w:t>因此，单纯比较 task-only、context 和 persona 三组平均分，不能证明 agent 真正在利用用户模型。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 的扩展版。因此核心贡献必须是可以单独验证的方法：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用反事实任务族识别真正的用户适配；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用压力测试区分获取、保持、利用、更新和恢复问题。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Update/Recover</w:t>
      </w:r>
      <w:r>
        <w:rPr>
          <w:rFonts w:ascii="Calibri" w:hAnsi="Calibri" w:eastAsia="PingFang SC"/>
        </w:rPr>
        <w:t>：用户纠正信息或改变目标后，agent 能不能更新并修复已经偏离的结果？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是：一个商业 Deep Research 产品、一个在统一搜索和工具条件下运行的通用 agent、一个可复现的开源 Deep Research agent。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Frozen Core</w:t>
      </w:r>
      <w:r>
        <w:rPr>
          <w:rFonts w:ascii="Calibri" w:hAnsi="Calibri" w:eastAsia="PingFang SC"/>
        </w:rPr>
        <w:t>：证据和工具固定，用于主要科学结论；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</w:t>
      </w:r>
      <w:r>
        <w:rPr>
          <w:rFonts w:ascii="Calibri" w:hAnsi="Calibri" w:eastAsia="PingFang SC"/>
        </w:rPr>
        <w:t>：记录日期、搜索服务和网页快照，只用于生态观察；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</w:t>
      </w:r>
      <w:r>
        <w:rPr>
          <w:rFonts w:ascii="Calibri" w:hAnsi="Calibri" w:eastAsia="PingFang SC"/>
        </w:rPr>
        <w:t>：用户状态中途变化，用于保持、更新和恢复测试。</w:t>
      </w:r>
    </w:p>
    <w:p>
      <w:r>
        <w:rPr>
          <w:rFonts w:ascii="Calibri" w:hAnsi="Calibri" w:eastAsia="PingFang SC"/>
        </w:rPr>
        <w:t>三条轨道不能混成一个总榜。商业产品版本和 live web 条件变化太快，必须单独报告。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用户中途更新目标；</w:t>
      </w:r>
    </w:p>
    <w:p>
      <w:pPr>
        <w:pStyle w:val="ListBullet"/>
      </w:pPr>
      <w:r>
        <w:rPr>
          <w:rFonts w:ascii="Calibri" w:hAnsi="Calibri" w:eastAsia="PingFang SC"/>
        </w:rPr>
        <w:t>在交付前重新提醒约束，观察能否恢复。</w:t>
      </w:r>
    </w:p>
    <w:p>
      <w:r>
        <w:rPr>
          <w:rFonts w:ascii="Calibri" w:hAnsi="Calibri" w:eastAsia="PingFang SC"/>
        </w:rPr>
        <w:t>前三个共同对照（clean、persona swap、无关信息）在所有 anchor 上运行；冲突、稀释、handoff 和动态更新只放到确实适合的 family。Re-anchor 不是 attack，而是恢复干预；预先确定哪些样本重跑，不能看见失败后再挑样本。这样才能把“这个任务本来难”与“用户信息被错配、稀释、丢失或没有更新”分开。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是哪一个、哪些结果应该变化/保持，以及恢复策略。对应指标分别是 ΔPF、无关信息 invariance、冲突解析率、PF retention/AUC、handoff loss、update correctness 和 recovery gain；同时检查事实、共同质量、长度和隐私是否受损。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子集做受控重跑，用 memory、handoff、re-anchor 等干预定位保持和恢复问题；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评测，论文必须把“形成、漂移、恢复”的机制性结论降级，不能用最终输出反推内部原因。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每个 case 的 rubric 由六类模块组成：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>所有 rubric 叶节点使用同一数据格式，但只有适用的模块才会被激活。例如代码任务需要可运行测试，决策备忘录需要比较标准和风险边界，学术综述需要覆盖与证据链。</w:t>
      </w:r>
    </w:p>
    <w:p>
      <w:pPr>
        <w:pStyle w:val="Heading2"/>
      </w:pPr>
      <w:r>
        <w:t>7.2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7.3 三棵 rubric tree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7.4 Rubric 进入主实验前必须过四关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CFA(a,b) = 1/2 × [Ua 对 Ya 相对 Yb 的偏好</w:t>
        <w:br/>
        <w:t xml:space="preserve">                + Ub 对 Yb 相对 Ya 的偏好]</w:t>
      </w:r>
    </w:p>
    <w:p>
      <w:r>
        <w:rPr>
          <w:rFonts w:ascii="Calibri" w:hAnsi="Calibri" w:eastAsia="PingFang SC"/>
        </w:rPr>
        <w:t>CFA 大于 0 才说明“对的人更喜欢对的版本”，而不是所有 persona 条件下报告都变长了。</w:t>
      </w:r>
    </w:p>
    <w:p>
      <w:pPr>
        <w:pStyle w:val="Heading2"/>
      </w:pPr>
      <w:r>
        <w:t>8.3 长程能力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Recovery：重新提醒或纠正后，表现恢复了多少；</w:t>
      </w:r>
    </w:p>
    <w:p>
      <w:pPr>
        <w:pStyle w:val="ListBullet"/>
      </w:pPr>
      <w:r>
        <w:rPr>
          <w:rFonts w:ascii="Calibri" w:hAnsi="Calibri" w:eastAsia="PingFang SC"/>
        </w:rPr>
        <w:t>Side effect：修复个性化问题时是否损害事实、任务质量或隐私。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和关键隐私门槛，再报告 PF−MP、CFA、Retention、Recovery、隐私违规率、成本和时间。不同 evidence track、工具预算和 agent 类型不应混排。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收到纠正后仍不能恢复。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回答不能是“我们任务更多”。必须证明 Atlas、反事实识别、rubric compiler、JudgeBench 和长程压力测试各自提供了新的、可验证的方法贡献。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能不能证明形成、保持和恢复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反事实任务族能区分真正用户适配和表面 persona 复述；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若完成诊断子集，可以报告保持、更新和恢复的受控证据。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arXiv:2605.19276,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ModelScope. </w:t>
      </w:r>
      <w:r>
        <w:rPr>
          <w:rFonts w:ascii="Calibri" w:hAnsi="Calibri" w:eastAsia="PingFang SC"/>
          <w:i/>
          <w:sz w:val="19"/>
        </w:rPr>
        <w:t>EvalScope Introduction</w:t>
      </w:r>
      <w:r>
        <w:rPr>
          <w:rFonts w:ascii="Calibri" w:hAnsi="Calibri" w:eastAsia="PingFang SC"/>
          <w:sz w:val="19"/>
        </w:rPr>
        <w:t>. https://evalscope.readthedocs.io/en/refact_readme/get_started/introduction.html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Zhang et al. </w:t>
      </w:r>
      <w:r>
        <w:rPr>
          <w:rFonts w:ascii="Calibri" w:hAnsi="Calibri" w:eastAsia="PingFang SC"/>
          <w:i/>
          <w:sz w:val="19"/>
        </w:rPr>
        <w:t>Agent-SafetyBench: Evaluating the Safety of LLM Agents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Wang et al. </w:t>
      </w:r>
      <w:r>
        <w:rPr>
          <w:rFonts w:ascii="Calibri" w:hAnsi="Calibri" w:eastAsia="PingFang SC"/>
          <w:i/>
          <w:sz w:val="19"/>
        </w:rPr>
        <w:t>LiveResearchBench: A Live Benchmark for User-Centric Deep Research in the Wild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Sharma et al. </w:t>
      </w:r>
      <w:r>
        <w:rPr>
          <w:rFonts w:ascii="Calibri" w:hAnsi="Calibri" w:eastAsia="PingFang SC"/>
          <w:i/>
          <w:sz w:val="19"/>
        </w:rPr>
        <w:t>ResearchRubrics: A Benchmark of Prompts and Rubrics for Evaluating Deep Research Agents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Java et al. </w:t>
      </w:r>
      <w:r>
        <w:rPr>
          <w:rFonts w:ascii="Calibri" w:hAnsi="Calibri" w:eastAsia="PingFang SC"/>
          <w:i/>
          <w:sz w:val="19"/>
        </w:rPr>
        <w:t>Characterizing Deep Research: A Benchmark and Formal Definition</w:t>
      </w:r>
      <w:r>
        <w:rPr>
          <w:rFonts w:ascii="Calibri" w:hAnsi="Calibri" w:eastAsia="PingFang SC"/>
          <w:sz w:val="19"/>
        </w:rPr>
        <w:t>. arXiv:2508.04183.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Yoran et al. </w:t>
      </w:r>
      <w:r>
        <w:rPr>
          <w:rFonts w:ascii="Calibri" w:hAnsi="Calibri" w:eastAsia="PingFang SC"/>
          <w:i/>
          <w:sz w:val="19"/>
        </w:rPr>
        <w:t>AssistantBench: Can Web Agents Solve Realistic and Time-Consuming Tasks?</w:t>
      </w:r>
      <w:r>
        <w:rPr>
          <w:rFonts w:ascii="Calibri" w:hAnsi="Calibri" w:eastAsia="PingFang SC"/>
          <w:sz w:val="19"/>
        </w:rPr>
        <w:t xml:space="preserve"> arXiv:2407.15711.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[9] Liang et al. </w:t>
      </w:r>
      <w:r>
        <w:rPr>
          <w:rFonts w:ascii="Calibri" w:hAnsi="Calibri" w:eastAsia="PingFang SC"/>
          <w:i/>
          <w:sz w:val="19"/>
        </w:rPr>
        <w:t>Holistic Evaluation of Language Models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[10] Ribeiro et al. </w:t>
      </w:r>
      <w:r>
        <w:rPr>
          <w:rFonts w:ascii="Calibri" w:hAnsi="Calibri" w:eastAsia="PingFang SC"/>
          <w:i/>
          <w:sz w:val="19"/>
        </w:rPr>
        <w:t>Beyond Accuracy: Behavioral Testing of NLP Models with 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[11] Reuel et al. </w:t>
      </w:r>
      <w:r>
        <w:rPr>
          <w:rFonts w:ascii="Calibri" w:hAnsi="Calibri" w:eastAsia="PingFang SC"/>
          <w:i/>
          <w:sz w:val="19"/>
        </w:rPr>
        <w:t>BetterBench: Assessing AI Benchmarks, Uncovering Issues, and Establishing Best Practices</w:t>
      </w:r>
      <w:r>
        <w:rPr>
          <w:rFonts w:ascii="Calibri" w:hAnsi="Calibri" w:eastAsia="PingFang SC"/>
          <w:sz w:val="19"/>
        </w:rPr>
        <w:t>. arXiv:2411.12990.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[12] Sokol et al. </w:t>
      </w:r>
      <w:r>
        <w:rPr>
          <w:rFonts w:ascii="Calibri" w:hAnsi="Calibri" w:eastAsia="PingFang SC"/>
          <w:i/>
          <w:sz w:val="19"/>
        </w:rPr>
        <w:t>BenchmarkCards: Standardized Documentation for Large Language Model Benchmarks</w:t>
      </w:r>
      <w:r>
        <w:rPr>
          <w:rFonts w:ascii="Calibri" w:hAnsi="Calibri" w:eastAsia="PingFang SC"/>
          <w:sz w:val="19"/>
        </w:rPr>
        <w:t>. NeurIPS Datasets and Benchmarks, 2025.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