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ADVISOR BRIEF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DeepAlign-Bench｜汇报精简版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15–20 分钟讲清研究问题、方法、实验与两个月范围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导师汇报 · 组会讲解 · 决策讨论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v0.15 · 汇报精简版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2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问题 → 数据 → 实验 → 评分 → 风险 → 决策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不是测报告写得多漂亮，而是测同一任务下，agent 能不能把正确结果交给正确用户。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评测对象与核心反事实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Task 与 Persona 构建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核心实验矩阵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Rubric、Metrics 与 Judge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结果/过程边界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论文贡献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八周安排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导师决策与主要风险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建议讲法：2 分钟问题、4 分钟数据、4 分钟实验与指标、3 分钟 Judge、3 分钟风险和导师决策。</w:t>
      </w:r>
    </w:p>
    <w:p>
      <w:r>
        <w:br w:type="page"/>
      </w:r>
    </w:p>
    <w:p>
      <w:pPr>
        <w:pStyle w:val="Heading1"/>
      </w:pPr>
      <w:r>
        <w:t>研究概要</w:t>
      </w:r>
    </w:p>
    <w:p>
      <w:pPr>
        <w:pStyle w:val="Heading2"/>
      </w:pPr>
      <w:r>
        <w:t>一句话问题</w:t>
      </w:r>
    </w:p>
    <w:p>
      <w:r>
        <w:rPr>
          <w:rFonts w:ascii="Calibri" w:hAnsi="Calibri" w:eastAsia="PingFang SC"/>
        </w:rPr>
        <w:t>现有 Deep Research benchmark 主要测“报告好不好”。我们要进一步测：</w:t>
      </w:r>
      <w:r>
        <w:rPr>
          <w:rFonts w:ascii="Calibri" w:hAnsi="Calibri" w:eastAsia="PingFang SC"/>
          <w:b/>
        </w:rPr>
        <w:t>同一任务和证据下，agent 能不能为不同用户交付不同但都正确的结果。</w:t>
      </w:r>
    </w:p>
    <w:p>
      <w:pPr>
        <w:pStyle w:val="Heading2"/>
      </w:pPr>
      <w:r>
        <w:t>为什么需要新的 benchmark</w:t>
      </w:r>
    </w:p>
    <w:p>
      <w:r>
        <w:rPr>
          <w:rFonts w:ascii="Calibri" w:hAnsi="Calibri" w:eastAsia="PingFang SC"/>
        </w:rPr>
        <w:t>给模型 persona 后分数提高，不一定说明它真的理解用户。也可能只是 prompt 更长、报告更长、复述了 persona，或者 judge 偏爱更具体的文本。</w:t>
      </w:r>
    </w:p>
    <w:p>
      <w:r>
        <w:rPr>
          <w:rFonts w:ascii="Calibri" w:hAnsi="Calibri" w:eastAsia="PingFang SC"/>
        </w:rPr>
        <w:t>因此我们采用反事实对照：固定任务、证据、工具和预算，只改变用户；再把两个用户的交付物交换评分。只有 matched 持续优于 swapped，同时事实和共同质量不下降，才算真正个性化。</w:t>
      </w:r>
    </w:p>
    <w:p>
      <w:pPr>
        <w:pStyle w:val="Heading2"/>
      </w:pPr>
      <w:r>
        <w:t>两个月交付范围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项目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锁定规模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Task family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 个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核心 user-task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48 个，两个强对比用户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用户信息条件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4 种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核心 agent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3 类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核心运行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最多 576 episodes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压力测试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8 个 anchor family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JudgeBench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240 个判分单元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人评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至少 20% 输出，加关键失败仲裁</w:t>
            </w:r>
          </w:p>
        </w:tc>
      </w:tr>
    </w:tbl>
    <w:p>
      <w:pPr>
        <w:spacing w:after="40"/>
      </w:pP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DeepAlign-Bench：一张图讲完评测流程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五平面元数据、反事实任务族和跨 agent 运行，到 rubric compiler、分层 judge 与人评校准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主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固定任务与证据，只改变用户；先过共同质量门槛，再用 matched/swapped 判断真正个性化。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论文要测的对象</w:t>
      </w:r>
    </w:p>
    <w:p>
      <w:r>
        <w:rPr>
          <w:rFonts w:ascii="Calibri" w:hAnsi="Calibri" w:eastAsia="PingFang SC"/>
        </w:rPr>
        <w:t>一个 case 由五组元数据定义：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Task</w:t>
      </w:r>
      <w:r>
        <w:rPr>
          <w:rFonts w:ascii="Calibri" w:hAnsi="Calibri" w:eastAsia="PingFang SC"/>
        </w:rPr>
        <w:t>：使用情境、研究意图、领域、交付物和任务强度；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Environment</w:t>
      </w:r>
      <w:r>
        <w:rPr>
          <w:rFonts w:ascii="Calibri" w:hAnsi="Calibri" w:eastAsia="PingFang SC"/>
        </w:rPr>
        <w:t>：证据、时效、工具、预算和权限；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User State</w:t>
      </w:r>
      <w:r>
        <w:rPr>
          <w:rFonts w:ascii="Calibri" w:hAnsi="Calibri" w:eastAsia="PingFang SC"/>
        </w:rPr>
        <w:t>：目标、知识、约束、偏好、风险、受众和动态状态；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Signal Channel</w:t>
      </w:r>
      <w:r>
        <w:rPr>
          <w:rFonts w:ascii="Calibri" w:hAnsi="Calibri" w:eastAsia="PingFang SC"/>
        </w:rPr>
        <w:t>：persona、对话、澄清、历史、行为、工作区和反馈；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Agent System</w:t>
      </w:r>
      <w:r>
        <w:rPr>
          <w:rFonts w:ascii="Calibri" w:hAnsi="Calibri" w:eastAsia="PingFang SC"/>
        </w:rPr>
        <w:t>：模型版本、搜索、记忆、规划、多 agent 和工具。</w:t>
      </w:r>
    </w:p>
    <w:p>
      <w:r>
        <w:rPr>
          <w:rFonts w:ascii="Calibri" w:hAnsi="Calibri" w:eastAsia="PingFang SC"/>
        </w:rPr>
        <w:t>这五组信息组成 Evaluation Atlas。它定义完整可测试空间，但不承诺首版跑完所有组合。</w:t>
      </w:r>
    </w:p>
    <w:p>
      <w:pPr>
        <w:pStyle w:val="Heading2"/>
      </w:pPr>
      <w:r>
        <w:t>四种行为测试</w:t>
      </w:r>
    </w:p>
    <w:p>
      <w:pPr>
        <w:pStyle w:val="ListBullet"/>
      </w:pPr>
      <w:r>
        <w:rPr>
          <w:rFonts w:ascii="Calibri" w:hAnsi="Calibri" w:eastAsia="PingFang SC"/>
        </w:rPr>
        <w:t>Acquire：缺信息时会不会正确澄清；</w:t>
      </w:r>
    </w:p>
    <w:p>
      <w:pPr>
        <w:pStyle w:val="ListBullet"/>
      </w:pPr>
      <w:r>
        <w:rPr>
          <w:rFonts w:ascii="Calibri" w:hAnsi="Calibri" w:eastAsia="PingFang SC"/>
        </w:rPr>
        <w:t>Preserve：长任务和交接后会不会忘记；</w:t>
      </w:r>
    </w:p>
    <w:p>
      <w:pPr>
        <w:pStyle w:val="ListBullet"/>
      </w:pPr>
      <w:r>
        <w:rPr>
          <w:rFonts w:ascii="Calibri" w:hAnsi="Calibri" w:eastAsia="PingFang SC"/>
        </w:rPr>
        <w:t>Use：是否把用户信息落实到结果；</w:t>
      </w:r>
    </w:p>
    <w:p>
      <w:pPr>
        <w:pStyle w:val="ListBullet"/>
      </w:pPr>
      <w:r>
        <w:rPr>
          <w:rFonts w:ascii="Calibri" w:hAnsi="Calibri" w:eastAsia="PingFang SC"/>
        </w:rPr>
        <w:t>Update/Recover：用户纠正后能否更新和恢复。</w:t>
      </w:r>
    </w:p>
    <w:p>
      <w:pPr>
        <w:pStyle w:val="Heading1"/>
      </w:pPr>
      <w:r>
        <w:t>2. Task 和 Persona 怎么构建</w:t>
      </w:r>
    </w:p>
    <w:p>
      <w:pPr>
        <w:pStyle w:val="Heading2"/>
      </w:pPr>
      <w:r>
        <w:t>Task 覆盖</w:t>
      </w:r>
    </w:p>
    <w:p>
      <w:r>
        <w:rPr>
          <w:rFonts w:ascii="Calibri" w:hAnsi="Calibri" w:eastAsia="PingFang SC"/>
        </w:rPr>
        <w:t xml:space="preserve">任务采用 </w:t>
      </w:r>
      <w:r>
        <w:rPr>
          <w:rFonts w:ascii="Courier New" w:hAnsi="Courier New" w:eastAsia="PingFang SC"/>
          <w:color w:val="6A3E00"/>
          <w:sz w:val="20"/>
        </w:rPr>
        <w:t>使用情境 × 研究意图 × 任务强度</w:t>
      </w:r>
      <w:r>
        <w:rPr>
          <w:rFonts w:ascii="Calibri" w:hAnsi="Calibri" w:eastAsia="PingFang SC"/>
        </w:rPr>
        <w:t>：</w:t>
      </w:r>
    </w:p>
    <w:p>
      <w:pPr>
        <w:pStyle w:val="ListBullet"/>
      </w:pPr>
      <w:r>
        <w:rPr>
          <w:rFonts w:ascii="Calibri" w:hAnsi="Calibri" w:eastAsia="PingFang SC"/>
        </w:rPr>
        <w:t>使用情境：个人日常、专业企业、学术前沿；</w:t>
      </w:r>
    </w:p>
    <w:p>
      <w:pPr>
        <w:pStyle w:val="ListBullet"/>
      </w:pPr>
      <w:r>
        <w:rPr>
          <w:rFonts w:ascii="Calibri" w:hAnsi="Calibri" w:eastAsia="PingFang SC"/>
        </w:rPr>
        <w:t>研究意图：理解、发现、决策、预测、规划、审计；</w:t>
      </w:r>
    </w:p>
    <w:p>
      <w:pPr>
        <w:pStyle w:val="ListBullet"/>
      </w:pPr>
      <w:r>
        <w:rPr>
          <w:rFonts w:ascii="Calibri" w:hAnsi="Calibri" w:eastAsia="PingFang SC"/>
        </w:rPr>
        <w:t>任务强度：概念广度、逻辑层数、探索性、搜索 fan-out、时效和风险。</w:t>
      </w:r>
    </w:p>
    <w:p>
      <w:r>
        <w:rPr>
          <w:rFonts w:ascii="Calibri" w:hAnsi="Calibri" w:eastAsia="PingFang SC"/>
        </w:rPr>
        <w:t>18 个 family 覆盖 3×6 主单元，6 个 family 复测关键单元，共 24 个。</w:t>
      </w:r>
    </w:p>
    <w:p>
      <w:pPr>
        <w:pStyle w:val="Heading2"/>
      </w:pPr>
      <w:r>
        <w:t>Persona 原则</w:t>
      </w:r>
    </w:p>
    <w:p>
      <w:r>
        <w:rPr>
          <w:rFonts w:ascii="Calibri" w:hAnsi="Calibri" w:eastAsia="PingFang SC"/>
        </w:rPr>
        <w:t>Persona 不是人物小传，而是 task-conditioned user state 的一种展示。每组 persona-task 必须通过六项检查：场景真实、会影响决策、用户间可区分、存在共同核心、信息最少且隐私可控、不依赖刻板印象。</w:t>
      </w:r>
    </w:p>
    <w:p>
      <w:r>
        <w:rPr>
          <w:rFonts w:ascii="Calibri" w:hAnsi="Calibri" w:eastAsia="PingFang SC"/>
        </w:rPr>
        <w:t>每个 user-task 都在运行前建立真值包：共同要求、用户特异要求、禁止事项、可接受替代、关键证据、严重错误封顶、预期澄清点、matched/swapped 的差异预测。</w:t>
      </w:r>
    </w:p>
    <w:p>
      <w:pPr>
        <w:pStyle w:val="Heading1"/>
      </w:pPr>
      <w:r>
        <w:t>3. 核心实验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24 task families × 2 users × 4 signal conditions × 3 agents</w:t>
        <w:br/>
        <w:t>= 最多 576 core episodes</w:t>
      </w:r>
    </w:p>
    <w:p>
      <w:r>
        <w:rPr>
          <w:rFonts w:ascii="Calibri" w:hAnsi="Calibri" w:eastAsia="PingFang SC"/>
        </w:rPr>
        <w:t>四种信号条件：task-only、structured persona、语义等价自然历史、clarification-allowed。</w:t>
      </w:r>
    </w:p>
    <w:p>
      <w:r>
        <w:rPr>
          <w:rFonts w:ascii="Calibri" w:hAnsi="Calibri" w:eastAsia="PingFang SC"/>
        </w:rPr>
        <w:t>三类核心 agent：商业 Deep Research、统一搜索/工具 harness、可复现开源 Deep Research。</w:t>
      </w:r>
    </w:p>
    <w:p>
      <w:r>
        <w:rPr>
          <w:rFonts w:ascii="Calibri" w:hAnsi="Calibri" w:eastAsia="PingFang SC"/>
        </w:rPr>
        <w:t>8 个 anchor family 是压力测试宿主，不是 8 种 persona。流程是：先让两个用户都与 task 合理匹配，建立 clean matched/swapped 真值；再固定目标用户、task、证据和预算，只改变可见 persona、上下文位置、交接摘要或更新时间。</w:t>
      </w:r>
    </w:p>
    <w:p>
      <w:r>
        <w:rPr>
          <w:rFonts w:ascii="Calibri" w:hAnsi="Calibri" w:eastAsia="PingFang SC"/>
        </w:rPr>
        <w:t>所有 anchor 都有 clean + persona swap + irrelevant-signal 配对；冲突/过期、context dilution、agent handoff、动态更新按预注册适用性分配。Re-anchor 是恢复干预，不是攻击类型；固定子集无论是否先失败都重跑，避免高估恢复收益。</w:t>
      </w:r>
    </w:p>
    <w:p>
      <w:r>
        <w:rPr>
          <w:rFonts w:ascii="Calibri" w:hAnsi="Calibri" w:eastAsia="PingFang SC"/>
        </w:rPr>
        <w:t>指标：ΔPF / invariance、冲突解析率、PF retention/AUC、handoff loss、update correctness、recovery gain；同时报告 TQ、事实性、隐私和长度副作用。</w:t>
      </w:r>
    </w:p>
    <w:p>
      <w:r>
        <w:rPr>
          <w:rFonts w:ascii="Calibri" w:hAnsi="Calibri" w:eastAsia="PingFang SC"/>
        </w:rPr>
        <w:t>Frozen Core、Live Web、Longitudinal 三条轨道分开报告；不同工具预算和不可复现产品不混成一个榜。</w:t>
      </w:r>
    </w:p>
    <w:p>
      <w:pPr>
        <w:pStyle w:val="Heading1"/>
      </w:pPr>
      <w:r>
        <w:t>4. Rubric 和 Metrics</w:t>
      </w:r>
    </w:p>
    <w:p>
      <w:pPr>
        <w:pStyle w:val="Heading2"/>
      </w:pPr>
      <w:r>
        <w:t>Metadata-driven Rubric Compiler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Core + Personalization + Intent + Deliverable + Operator + Risk</w:t>
        <w:br/>
        <w:t>→ 当前 case 的 rubric</w:t>
      </w:r>
    </w:p>
    <w:p>
      <w:r>
        <w:rPr>
          <w:rFonts w:ascii="Calibri" w:hAnsi="Calibri" w:eastAsia="PingFang SC"/>
        </w:rPr>
        <w:t>统一的是 rubric 叶节点格式、适用条件和校准程序，不是让报告、代码、表格和幻灯共享同一张评分表。</w:t>
      </w:r>
    </w:p>
    <w:p>
      <w:pPr>
        <w:pStyle w:val="Heading2"/>
      </w:pPr>
      <w:r>
        <w:t>四类评价契约</w:t>
      </w:r>
    </w:p>
    <w:p>
      <w:pPr>
        <w:pStyle w:val="ListBullet"/>
      </w:pPr>
      <w:r>
        <w:rPr>
          <w:rFonts w:ascii="Calibri" w:hAnsi="Calibri" w:eastAsia="PingFang SC"/>
        </w:rPr>
        <w:t>Must change：不同用户必须变化；</w:t>
      </w:r>
    </w:p>
    <w:p>
      <w:pPr>
        <w:pStyle w:val="ListBullet"/>
      </w:pPr>
      <w:r>
        <w:rPr>
          <w:rFonts w:ascii="Calibri" w:hAnsi="Calibri" w:eastAsia="PingFang SC"/>
        </w:rPr>
        <w:t>Must hold：共同事实和质量必须保持；</w:t>
      </w:r>
    </w:p>
    <w:p>
      <w:pPr>
        <w:pStyle w:val="ListBullet"/>
      </w:pPr>
      <w:r>
        <w:rPr>
          <w:rFonts w:ascii="Calibri" w:hAnsi="Calibri" w:eastAsia="PingFang SC"/>
        </w:rPr>
        <w:t>Must not：不得假设、泄露或越权；</w:t>
      </w:r>
    </w:p>
    <w:p>
      <w:pPr>
        <w:pStyle w:val="ListBullet"/>
      </w:pPr>
      <w:r>
        <w:rPr>
          <w:rFonts w:ascii="Calibri" w:hAnsi="Calibri" w:eastAsia="PingFang SC"/>
        </w:rPr>
        <w:t>Clarify if unknown：缺关键信息时应提问或给条件分支。</w:t>
      </w:r>
    </w:p>
    <w:p>
      <w:pPr>
        <w:pStyle w:val="Heading2"/>
      </w:pPr>
      <w:r>
        <w:t>主指标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指标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回答的问题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TQ / FR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任务和事实是否先过基本质量门槛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PF − MP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用户特异要求减去误用、泄露和过度迎合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CFA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matched 是否稳定优于 swapped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Retention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长任务中用户适配保留多少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Recovery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纠正或重新锚定后恢复多少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>主榜先过 TQ、FR 和关键隐私门槛，再报告个性化指标。不能用“懂用户”补偿事实错误。</w:t>
      </w:r>
    </w:p>
    <w:p>
      <w:pPr>
        <w:pStyle w:val="Heading1"/>
      </w:pPr>
      <w:r>
        <w:t>5. Judge 方案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L0 确定性 verifier</w:t>
        <w:br/>
        <w:t>→ L1 证据 verifier</w:t>
        <w:br/>
        <w:t>→ L2 强通用 rubric judge</w:t>
        <w:br/>
        <w:t>→ L3 目标用户/领域专家复核</w:t>
      </w:r>
    </w:p>
    <w:p>
      <w:r>
        <w:rPr>
          <w:rFonts w:ascii="Calibri" w:hAnsi="Calibri" w:eastAsia="PingFang SC"/>
        </w:rPr>
        <w:t>JudgeBench 用 240 个单元测试位置偏差、长度偏差、漂亮格式诱饵、persona 关键词堆叠、隐私泄露、边界答案和正确弃权。</w:t>
      </w:r>
    </w:p>
    <w:p>
      <w:r>
        <w:rPr>
          <w:rFonts w:ascii="Calibri" w:hAnsi="Calibri" w:eastAsia="PingFang SC"/>
        </w:rPr>
        <w:t>两个月主线：</w:t>
      </w:r>
      <w:r>
        <w:rPr>
          <w:rFonts w:ascii="Courier New" w:hAnsi="Courier New" w:eastAsia="PingFang SC"/>
          <w:color w:val="6A3E00"/>
          <w:sz w:val="20"/>
        </w:rPr>
        <w:t>verifier → strong judge → 20% 分层人评 + 分歧仲裁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SFT scorer 只在第 4 周前已有高质量 gold 且不阻塞主实验时进入附录。“人工 0/1 + GPT reason”不能直接当新真值，必须加入 evidence span、错误类型、置信度和弃权。</w:t>
      </w:r>
    </w:p>
    <w:p>
      <w:pPr>
        <w:pStyle w:val="Heading1"/>
      </w:pPr>
      <w:r>
        <w:t>6. 最终交付物是否足够</w:t>
      </w:r>
    </w:p>
    <w:p>
      <w:pPr>
        <w:pStyle w:val="Heading2"/>
      </w:pPr>
      <w:r>
        <w:t>主榜：足够</w:t>
      </w:r>
    </w:p>
    <w:p>
      <w:r>
        <w:rPr>
          <w:rFonts w:ascii="Calibri" w:hAnsi="Calibri" w:eastAsia="PingFang SC"/>
        </w:rPr>
        <w:t>最终交付物可以判断：结果是否适合用户、matched 是否优于 swapped、是否损害事实性、是否泄露或过度迎合。</w:t>
      </w:r>
    </w:p>
    <w:p>
      <w:pPr>
        <w:pStyle w:val="Heading2"/>
      </w:pPr>
      <w:r>
        <w:t>机制结论：不够</w:t>
      </w:r>
    </w:p>
    <w:p>
      <w:r>
        <w:rPr>
          <w:rFonts w:ascii="Calibri" w:hAnsi="Calibri" w:eastAsia="PingFang SC"/>
        </w:rPr>
        <w:t>只看最后报告无法区分“没读到、忘了、知道但没用”。因此全量保存轻量轨迹，20%–30% 子集做 memory、handoff 和 re-anchor 的受控重跑。</w:t>
      </w:r>
    </w:p>
    <w:p>
      <w:r>
        <w:rPr>
          <w:rFonts w:ascii="Calibri" w:hAnsi="Calibri" w:eastAsia="PingFang SC"/>
        </w:rPr>
        <w:t>如果诊断子集没有完成，论文只主张“最终交付物个性化”，不主张已经定位内部偏移时刻。</w:t>
      </w:r>
    </w:p>
    <w:p>
      <w:pPr>
        <w:pStyle w:val="Heading1"/>
      </w:pPr>
      <w:r>
        <w:t>7. 预期论文贡献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Evaluation Atlas</w:t>
      </w:r>
      <w:r>
        <w:rPr>
          <w:rFonts w:ascii="Calibri" w:hAnsi="Calibri" w:eastAsia="PingFang SC"/>
        </w:rPr>
        <w:t>：机器可读地描述 task、environment、user state、signal 和 agent；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Counterfactual families</w:t>
      </w:r>
      <w:r>
        <w:rPr>
          <w:rFonts w:ascii="Calibri" w:hAnsi="Calibri" w:eastAsia="PingFang SC"/>
        </w:rPr>
        <w:t>：用 matched/swapped 排除篇幅和 persona 复述等替代解释；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Failure taxonomy</w:t>
      </w:r>
      <w:r>
        <w:rPr>
          <w:rFonts w:ascii="Calibri" w:hAnsi="Calibri" w:eastAsia="PingFang SC"/>
        </w:rPr>
        <w:t>：任务类型负责覆盖，结果风险和失败模式负责诊断；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Rubric compiler</w:t>
      </w:r>
      <w:r>
        <w:rPr>
          <w:rFonts w:ascii="Calibri" w:hAnsi="Calibri" w:eastAsia="PingFang SC"/>
        </w:rPr>
        <w:t>：根据元数据选择可适用模块；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JudgeBench</w:t>
      </w:r>
      <w:r>
        <w:rPr>
          <w:rFonts w:ascii="Calibri" w:hAnsi="Calibri" w:eastAsia="PingFang SC"/>
        </w:rPr>
        <w:t>：先证明评委可靠，再发布自动榜单；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可复现协议</w:t>
      </w:r>
      <w:r>
        <w:rPr>
          <w:rFonts w:ascii="Calibri" w:hAnsi="Calibri" w:eastAsia="PingFang SC"/>
        </w:rPr>
        <w:t>：coverage manifest、版本、预算、轨迹和评分均可审计。</w:t>
      </w:r>
    </w:p>
    <w:p>
      <w:pPr>
        <w:pStyle w:val="Heading2"/>
      </w:pPr>
      <w:r>
        <w:t>与 PDR-Bench 的关键差异</w:t>
      </w:r>
    </w:p>
    <w:p>
      <w:r>
        <w:rPr>
          <w:rFonts w:ascii="Calibri" w:hAnsi="Calibri" w:eastAsia="PingFang SC"/>
        </w:rPr>
        <w:t>差异不能写成“更多任务和更多 agent”。真正差异是：反事实识别、用户信息来源多元、动态/长程测试、模块化 rubric、独立 judge benchmark，以及明确区分测试意图和观察到的真实失败。</w:t>
      </w:r>
    </w:p>
    <w:p>
      <w:pPr>
        <w:pStyle w:val="Heading1"/>
      </w:pPr>
      <w:r>
        <w:t>8. 两个月安排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研究产出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Go / No-Go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Atlas、schema、coverage、24 family 配额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ontology 是否可运行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2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 family、48 user state、persona 检查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80% family 有稳定用户差异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3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真值包和 rubric modules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matched/swapped 可区分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240-unit JudgeBench、6 family dry run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judge 不过门则扩大人评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5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三类核心 agent 主矩阵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成本和失败率可控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anchor 压测、20% 人评、错误编码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是否有独立个性化信号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7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统计、覆盖审计、Results 初稿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删除不受支持支线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8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结果冻结、复现、全文和匿名材料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不再新增分类和系统</w:t>
            </w:r>
          </w:p>
        </w:tc>
      </w:tr>
    </w:tbl>
    <w:p>
      <w:pPr>
        <w:spacing w:after="40"/>
      </w:pPr>
    </w:p>
    <w:p>
      <w:pPr>
        <w:pStyle w:val="Heading1"/>
      </w:pPr>
      <w:r>
        <w:t>9. 需要导师拍板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 Atlas、反事实识别和 rubric compiler 是核心贡献，而不是“测尽所有组合”？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是否锁定 24 family、48 user-task、4 条件、3 类 agent 的主矩阵？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 SFT scorer 不阻塞主论文？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是否同意代码、多 agent、memory 和动态用户只进入 8 个 anchor family？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若 judge 或 persona 真值不过门，是否接受缩小论文主张，而不是继续扩大数据？</w:t>
      </w:r>
    </w:p>
    <w:p>
      <w:pPr>
        <w:pStyle w:val="Heading1"/>
      </w:pPr>
      <w:r>
        <w:t>10. 最重要的风险</w:t>
      </w:r>
    </w:p>
    <w:p>
      <w:pPr>
        <w:pStyle w:val="ListBullet"/>
      </w:pPr>
      <w:r>
        <w:rPr>
          <w:rFonts w:ascii="Calibri" w:hAnsi="Calibri" w:eastAsia="PingFang SC"/>
        </w:rPr>
        <w:t>Persona 如果只是作者想象，个性化 gold 不成立；</w:t>
      </w:r>
    </w:p>
    <w:p>
      <w:pPr>
        <w:pStyle w:val="ListBullet"/>
      </w:pPr>
      <w:r>
        <w:rPr>
          <w:rFonts w:ascii="Calibri" w:hAnsi="Calibri" w:eastAsia="PingFang SC"/>
        </w:rPr>
        <w:t>Rubric 如果不能区分 matched/swapped，CFA 没有意义；</w:t>
      </w:r>
    </w:p>
    <w:p>
      <w:pPr>
        <w:pStyle w:val="ListBullet"/>
      </w:pPr>
      <w:r>
        <w:rPr>
          <w:rFonts w:ascii="Calibri" w:hAnsi="Calibri" w:eastAsia="PingFang SC"/>
        </w:rPr>
        <w:t>Judge 如果偏爱长度和风格，自动榜单不可信；</w:t>
      </w:r>
    </w:p>
    <w:p>
      <w:pPr>
        <w:pStyle w:val="ListBullet"/>
      </w:pPr>
      <w:r>
        <w:rPr>
          <w:rFonts w:ascii="Calibri" w:hAnsi="Calibri" w:eastAsia="PingFang SC"/>
        </w:rPr>
        <w:t>元数据很多但测试稀疏，必须公开 coverage 缺口；</w:t>
      </w:r>
    </w:p>
    <w:p>
      <w:pPr>
        <w:pStyle w:val="ListBullet"/>
      </w:pPr>
      <w:r>
        <w:rPr>
          <w:rFonts w:ascii="Calibri" w:hAnsi="Calibri" w:eastAsia="PingFang SC"/>
        </w:rPr>
        <w:t>不同 agent 工具和预算不同，必须分轨道比较；</w:t>
      </w:r>
    </w:p>
    <w:p>
      <w:pPr>
        <w:pStyle w:val="ListBullet"/>
      </w:pPr>
      <w:r>
        <w:rPr>
          <w:rFonts w:ascii="Calibri" w:hAnsi="Calibri" w:eastAsia="PingFang SC"/>
        </w:rPr>
        <w:t>两个月最大的风险不是任务少，而是范围继续扩大导致没有完整主实验。</w:t>
      </w:r>
    </w:p>
    <w:p>
      <w:pPr>
        <w:pStyle w:val="Heading1"/>
      </w:pPr>
      <w:r>
        <w:t>参考文献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[1] OpenCompass Team. </w:t>
      </w:r>
      <w:r>
        <w:rPr>
          <w:rFonts w:ascii="Calibri" w:hAnsi="Calibri" w:eastAsia="PingFang SC"/>
          <w:i/>
          <w:sz w:val="19"/>
        </w:rPr>
        <w:t>OpenCompass: A Universal Evaluation Platform for Large Language Models</w:t>
      </w:r>
      <w:r>
        <w:rPr>
          <w:rFonts w:ascii="Calibri" w:hAnsi="Calibri" w:eastAsia="PingFang SC"/>
          <w:sz w:val="19"/>
        </w:rPr>
        <w:t>.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[2] Zhang et al. </w:t>
      </w:r>
      <w:r>
        <w:rPr>
          <w:rFonts w:ascii="Calibri" w:hAnsi="Calibri" w:eastAsia="PingFang SC"/>
          <w:i/>
          <w:sz w:val="19"/>
        </w:rPr>
        <w:t>Agent-SafetyBench</w:t>
      </w:r>
      <w:r>
        <w:rPr>
          <w:rFonts w:ascii="Calibri" w:hAnsi="Calibri" w:eastAsia="PingFang SC"/>
          <w:sz w:val="19"/>
        </w:rPr>
        <w:t>. arXiv:2412.14470.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[3] </w:t>
      </w:r>
      <w:r>
        <w:rPr>
          <w:rFonts w:ascii="Calibri" w:hAnsi="Calibri" w:eastAsia="PingFang SC"/>
          <w:i/>
          <w:sz w:val="19"/>
        </w:rPr>
        <w:t>Towards Personalized Deep Research: Benchmarks and Evaluations</w:t>
      </w:r>
      <w:r>
        <w:rPr>
          <w:rFonts w:ascii="Calibri" w:hAnsi="Calibri" w:eastAsia="PingFang SC"/>
          <w:sz w:val="19"/>
        </w:rPr>
        <w:t>. arXiv:2509.25106.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[4] Wang et al. </w:t>
      </w:r>
      <w:r>
        <w:rPr>
          <w:rFonts w:ascii="Calibri" w:hAnsi="Calibri" w:eastAsia="PingFang SC"/>
          <w:i/>
          <w:sz w:val="19"/>
        </w:rPr>
        <w:t>LiveResearchBench</w:t>
      </w:r>
      <w:r>
        <w:rPr>
          <w:rFonts w:ascii="Calibri" w:hAnsi="Calibri" w:eastAsia="PingFang SC"/>
          <w:sz w:val="19"/>
        </w:rPr>
        <w:t>. arXiv:2510.14240.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[5] Sharma et al. </w:t>
      </w:r>
      <w:r>
        <w:rPr>
          <w:rFonts w:ascii="Calibri" w:hAnsi="Calibri" w:eastAsia="PingFang SC"/>
          <w:i/>
          <w:sz w:val="19"/>
        </w:rPr>
        <w:t>ResearchRubrics</w:t>
      </w:r>
      <w:r>
        <w:rPr>
          <w:rFonts w:ascii="Calibri" w:hAnsi="Calibri" w:eastAsia="PingFang SC"/>
          <w:sz w:val="19"/>
        </w:rPr>
        <w:t>. arXiv:2511.07685.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[6] Liang et al. </w:t>
      </w:r>
      <w:r>
        <w:rPr>
          <w:rFonts w:ascii="Calibri" w:hAnsi="Calibri" w:eastAsia="PingFang SC"/>
          <w:i/>
          <w:sz w:val="19"/>
        </w:rPr>
        <w:t>HELM</w:t>
      </w:r>
      <w:r>
        <w:rPr>
          <w:rFonts w:ascii="Calibri" w:hAnsi="Calibri" w:eastAsia="PingFang SC"/>
          <w:sz w:val="19"/>
        </w:rPr>
        <w:t>. TMLR, 2023.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[7] Ribeiro et al. </w:t>
      </w:r>
      <w:r>
        <w:rPr>
          <w:rFonts w:ascii="Calibri" w:hAnsi="Calibri" w:eastAsia="PingFang SC"/>
          <w:i/>
          <w:sz w:val="19"/>
        </w:rPr>
        <w:t>CheckList</w:t>
      </w:r>
      <w:r>
        <w:rPr>
          <w:rFonts w:ascii="Calibri" w:hAnsi="Calibri" w:eastAsia="PingFang SC"/>
          <w:sz w:val="19"/>
        </w:rPr>
        <w:t>. ACL, 2020.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[8] Reuel et al. </w:t>
      </w:r>
      <w:r>
        <w:rPr>
          <w:rFonts w:ascii="Calibri" w:hAnsi="Calibri" w:eastAsia="PingFang SC"/>
          <w:i/>
          <w:sz w:val="19"/>
        </w:rPr>
        <w:t>BetterBench</w:t>
      </w:r>
      <w:r>
        <w:rPr>
          <w:rFonts w:ascii="Calibri" w:hAnsi="Calibri" w:eastAsia="PingFang SC"/>
          <w:sz w:val="19"/>
        </w:rPr>
        <w:t>. arXiv:2411.12990.</w:t>
      </w:r>
    </w:p>
    <w:sectPr w:rsidR="00FC693F" w:rsidRPr="0006063C" w:rsidSect="00034616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  <w:jc w:val="left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PingFang SC"/>
      <w:b/>
      <w:bCs/>
      <w:color w:val="163A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