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长程 Deep Research 智能体个性化最终交付物评测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约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v0.22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Problem · Research Questions · Method · Evaluation · Validity · Timeline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固定任务与证据，只改变用户；用 matched/swapped 交叉评分检验结果特异性，再用语义等价 cue 检查结论是否依赖表面表达。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个性化 agent 研究已经从用户历史建模扩展到任务对话、工具调用、长程记忆和 Deep Research；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[26]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PDR-Bench 已能够评价 task–persona 条件下的 absolute adaptation，但其最佳 judge 的人类 pairwise agreement 仅 0.43，校准只覆盖 15 个 query 与两个 agent。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DeepAlign 的方法增量不是 rubric 更懂 persona，而是转向 </w:t>
      </w:r>
      <w:r>
        <w:rPr>
          <w:rFonts w:ascii="Calibri" w:hAnsi="Calibri" w:eastAsia="PingFang SC"/>
          <w:b/>
        </w:rPr>
        <w:t>counterfactual personalization effect identification</w:t>
      </w:r>
      <w:r>
        <w:rPr>
          <w:rFonts w:ascii="Calibri" w:hAnsi="Calibri" w:eastAsia="PingFang SC"/>
        </w:rPr>
        <w:t>；JudgeBench 则解决新 estimand 的测量可靠性。本项目固定任务与证据，交换两个都合理的目标用户，并用预冻结契约约束有效变化。</w:t>
      </w:r>
    </w:p>
    <w:p>
      <w:r>
        <w:rPr>
          <w:rFonts w:ascii="Calibri" w:hAnsi="Calibri" w:eastAsia="PingFang SC"/>
        </w:rPr>
        <w:t>核心方法是反事实任务族：固定任务、证据、工具与资源预算，只改变目标用户；再将两个用户的交付物进行 matched/swapped 交换评分。只有匹配交付物稳定优于错配交付物，且共同任务质量、事实性、安全与隐私不下降时，才认定为有效个性化。评测框架包括五平面元数据、反事实任务族、元数据驱动的 rubric compiler、分层指标和独立 JudgeBench。</w:t>
      </w:r>
    </w:p>
    <w:p>
      <w:r>
        <w:rPr>
          <w:rFonts w:ascii="Calibri" w:hAnsi="Calibri" w:eastAsia="PingFang SC"/>
        </w:rPr>
        <w:t>两个月论文版计划构建 24 个 task family、48 个核心 user-task、4 种用户信息条件和 3 类核心 agent，最多运行 576 个核心 episode；其中 8 个 anchor family 用于错配、无关信息、冲突/过期信息、长上下文稀释和动态更新测试。</w:t>
      </w:r>
    </w:p>
    <w:p>
      <w:pPr>
        <w:pStyle w:val="Heading1"/>
      </w:pPr>
      <w:r>
        <w:t>1. 研究背景与问题</w:t>
      </w:r>
    </w:p>
    <w:p>
      <w:pPr>
        <w:pStyle w:val="Heading2"/>
      </w:pPr>
      <w:r>
        <w:t>1.1 现有评测的不足</w:t>
      </w:r>
    </w:p>
    <w:p>
      <w:r>
        <w:rPr>
          <w:rFonts w:ascii="Calibri" w:hAnsi="Calibri" w:eastAsia="PingFang SC"/>
        </w:rPr>
        <w:t>现有文献先解决了“研究结果一般好不好”。LiveResearchBench、PaperBench 等评价任务完成、事实、引用和报告完整性，OpenCompass 与 EvalScope 提供运行基础设施。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[7]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r>
        <w:rPr>
          <w:rFonts w:ascii="Calibri" w:hAnsi="Calibri" w:eastAsia="PingFang SC"/>
        </w:rPr>
        <w:t xml:space="preserve"> 这些指标是个性化不能牺牲的共同质量底线，但它们通常不回答“同一份证据对哪个用户更有用”。</w:t>
      </w:r>
    </w:p>
    <w:p>
      <w:r>
        <w:rPr>
          <w:rFonts w:ascii="Calibri" w:hAnsi="Calibri" w:eastAsia="PingFang SC"/>
        </w:rPr>
        <w:t>随后，研究开始让评价函数随用户改变。LaMP 从用户历史评测个性化生成，PersonaLens 把丰富画像和历史放进任务型对话，PersonaMem 要求模型跟踪会变化的用户画像；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[26]</w:t>
        </w:r>
      </w:hyperlink>
      <w:r>
        <w:rPr>
          <w:rFonts w:ascii="Calibri" w:hAnsi="Calibri" w:eastAsia="PingFang SC"/>
        </w:rPr>
        <w:t xml:space="preserve"> Setoka、PersonaTrail 和 APeB 又把用户信号扩展到异构记录、浏览轨迹和行为日志。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hyperlink r:id="rId23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hyperlink r:id="rId24">
        <w:r>
          <w:rPr>
            <w:rFonts w:ascii="Calibri" w:hAnsi="Calibri" w:eastAsia="PingFang SC"/>
            <w:color w:val="2E74B5"/>
            <w:u w:val="single"/>
          </w:rPr>
          <w:t>[22]</w:t>
        </w:r>
      </w:hyperlink>
      <w:r>
        <w:rPr>
          <w:rFonts w:ascii="Calibri" w:hAnsi="Calibri" w:eastAsia="PingFang SC"/>
        </w:rPr>
        <w:t xml:space="preserve"> 因此，“用户理解或历史利用无人评测”已经不是可辩护的起点；这些工作主要仍以响应选择、记忆问答或单域意图为终点。</w:t>
      </w:r>
    </w:p>
    <w:p>
      <w:r>
        <w:rPr>
          <w:rFonts w:ascii="Calibri" w:hAnsi="Calibri" w:eastAsia="PingFang SC"/>
        </w:rPr>
        <w:t>个性化也已经从“说什么”进入“做什么”。ETAPP 用人工关键点评测个性化与主动工具调用，Mem2ActBench 检查长期记忆能否落实到工具参数；</w:t>
      </w:r>
      <w:hyperlink r:id="rId13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25">
        <w:r>
          <w:rPr>
            <w:rFonts w:ascii="Calibri" w:hAnsi="Calibri" w:eastAsia="PingFang SC"/>
            <w:color w:val="2E74B5"/>
            <w:u w:val="single"/>
          </w:rPr>
          <w:t>[30]</w:t>
        </w:r>
      </w:hyperlink>
      <w:r>
        <w:rPr>
          <w:rFonts w:ascii="Calibri" w:hAnsi="Calibri" w:eastAsia="PingFang SC"/>
        </w:rPr>
        <w:t xml:space="preserve"> TARS 测代码解释的人类效用，PAHF 用澄清、记忆和反馈适应偏好漂移，PASB 与 PS-Bench 分别暴露持久写入和良性个人记忆带来的安全风险。</w:t>
      </w:r>
      <w:hyperlink r:id="rId26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hyperlink r:id="rId27">
        <w:r>
          <w:rPr>
            <w:rFonts w:ascii="Calibri" w:hAnsi="Calibri" w:eastAsia="PingFang SC"/>
            <w:color w:val="2E74B5"/>
            <w:u w:val="single"/>
          </w:rPr>
          <w:t>[29]</w:t>
        </w:r>
      </w:hyperlink>
      <w:hyperlink r:id="rId28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hyperlink r:id="rId29">
        <w:r>
          <w:rPr>
            <w:rFonts w:ascii="Calibri" w:hAnsi="Calibri" w:eastAsia="PingFang SC"/>
            <w:color w:val="2E74B5"/>
            <w:u w:val="single"/>
          </w:rPr>
          <w:t>[31]</w:t>
        </w:r>
      </w:hyperlink>
      <w:r>
        <w:rPr>
          <w:rFonts w:ascii="Calibri" w:hAnsi="Calibri" w:eastAsia="PingFang SC"/>
        </w:rPr>
        <w:t xml:space="preserve"> 这意味着 DeepAlign-Bench 不能把“行动、更新或风险”本身当作首创；现有终点多是离散工具/GUI 行动、分类、推荐或安全失败，还没有统一到多证据的开放式 DR 交付物。</w:t>
      </w:r>
    </w:p>
    <w:p>
      <w:r>
        <w:rPr>
          <w:rFonts w:ascii="Calibri" w:hAnsi="Calibri" w:eastAsia="PingFang SC"/>
        </w:rPr>
        <w:t>最后，PDR-Bench 和另一项 PDR 工作已经把 persona 或动态上下文接入 Deep Research。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r>
        <w:rPr>
          <w:rFonts w:ascii="Calibri" w:hAnsi="Calibri" w:eastAsia="PingFang SC"/>
        </w:rPr>
        <w:t xml:space="preserve"> PDR 的 P-Score 按 task/persona 生成权重与子标准，能回答“给定用户，这份报告是否适合”；DeepAlign 改问“固定 task/evidence/resources，只换用户后，两份交付物是否各自更适合对应用户”，并以 must-change / must-hold / must-not 排除方向错误、共同事实破坏和过度推断。PDR 的测量边界也需保留：15-query/2-agent 校准中最佳 PCA=0.43；两层动态 rubric 会引入 criterion variance；human panel 不等于目标用户效度；事实分依赖 claim 抽取—去重—抓取—支持判断链；P/Q/R 算术平均还可能补偿关键事实失败。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这些支持独立 JudgeBench 和 hard gate，但不是 estimand 创新的替代。</w:t>
      </w:r>
    </w:p>
    <w:p>
      <w:pPr>
        <w:pStyle w:val="Heading2"/>
      </w:pPr>
      <w:r>
        <w:t>1.2 研究空缺</w:t>
      </w:r>
    </w:p>
    <w:p>
      <w:r>
        <w:rPr>
          <w:rFonts w:ascii="Calibri" w:hAnsi="Calibri" w:eastAsia="PingFang SC"/>
        </w:rPr>
        <w:t>本项目不声称首先研究 personalization、history、tool use、persistent state 或 temporal intervention；它解决的是这些方向在广义 DR 最终交付物上的识别缺口：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如何从 absolute adaptation evaluation 转向 counterfactual personalization effect identification，检验只改变目标用户后交付物是否发生方向正确的变化；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如何为报告、代码、表格和决策备忘录使用可组合但不强行统一的 rubric；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如何区分最终交付物效用与获取、保持、利用、更新/恢复等过程机制；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如何验证自动 judge 没有被长度、位置、格式和 persona 关键词误导。</w:t>
      </w:r>
    </w:p>
    <w:p>
      <w:r>
        <w:rPr>
          <w:rFonts w:ascii="Calibri" w:hAnsi="Calibri" w:eastAsia="PingFang SC"/>
        </w:rPr>
        <w:t>可辩护的核心主张是：在广义 Deep Research 的多类最终交付物上，用 matched/swapped 用户交换和预冻结 must-change/must-hold/must-not 真值识别可观察的 counterfactual personalization effect。异构用户信号、长程干预、模块化 rubric 和独立 JudgeBench 用于检验这一效应的稳健性、测量效度与外部效度，不与核心创新并列。该协议不证明模型内部“真正理解用户”；若 matched/swapped 人评不稳定，论文将收缩为 absolute adaptation 的扩展研究。</w:t>
      </w:r>
    </w:p>
    <w:p>
      <w:pPr>
        <w:pStyle w:val="Heading1"/>
      </w:pPr>
      <w:r>
        <w:t>2. 研究问题与假设</w:t>
      </w:r>
    </w:p>
    <w:p>
      <w:pPr>
        <w:pStyle w:val="Heading2"/>
      </w:pPr>
      <w:r>
        <w:t>2.1 研究问题</w:t>
      </w:r>
    </w:p>
    <w:p>
      <w:pPr>
        <w:pStyle w:val="ListBullet"/>
      </w:pPr>
      <w:r>
        <w:rPr>
          <w:rFonts w:ascii="Calibri" w:hAnsi="Calibri" w:eastAsia="PingFang SC"/>
          <w:b/>
        </w:rPr>
        <w:t>RQ1：反事实适配。</w:t>
      </w:r>
      <w:r>
        <w:rPr>
          <w:rFonts w:ascii="Calibri" w:hAnsi="Calibri" w:eastAsia="PingFang SC"/>
        </w:rPr>
        <w:t xml:space="preserve"> 同一任务和证据下，匹配用户的交付物是否稳定优于错配用户的交付物？</w:t>
      </w:r>
    </w:p>
    <w:p>
      <w:pPr>
        <w:pStyle w:val="ListBullet"/>
      </w:pPr>
      <w:r>
        <w:rPr>
          <w:rFonts w:ascii="Calibri" w:hAnsi="Calibri" w:eastAsia="PingFang SC"/>
          <w:b/>
        </w:rPr>
        <w:t>RQ2：信息渠道。</w:t>
      </w:r>
      <w:r>
        <w:rPr>
          <w:rFonts w:ascii="Calibri" w:hAnsi="Calibri" w:eastAsia="PingFang SC"/>
        </w:rPr>
        <w:t xml:space="preserve"> 结构化 persona、语义等价自然历史、主动澄清和 task-only 条件如何影响个性化效果与误用风险？</w:t>
      </w:r>
    </w:p>
    <w:p>
      <w:pPr>
        <w:pStyle w:val="ListBullet"/>
      </w:pPr>
      <w:r>
        <w:rPr>
          <w:rFonts w:ascii="Calibri" w:hAnsi="Calibri" w:eastAsia="PingFang SC"/>
          <w:b/>
        </w:rPr>
        <w:t>RQ3：长程保持与恢复。</w:t>
      </w:r>
      <w:r>
        <w:rPr>
          <w:rFonts w:ascii="Calibri" w:hAnsi="Calibri" w:eastAsia="PingFang SC"/>
        </w:rPr>
        <w:t xml:space="preserve"> 上下文稀释、信息冲突、agent 交接和用户状态更新是否降低适配，重新锚定能否恢复？</w:t>
      </w:r>
    </w:p>
    <w:p>
      <w:pPr>
        <w:pStyle w:val="ListBullet"/>
      </w:pPr>
      <w:r>
        <w:rPr>
          <w:rFonts w:ascii="Calibri" w:hAnsi="Calibri" w:eastAsia="PingFang SC"/>
          <w:b/>
        </w:rPr>
        <w:t>RQ4：系统差异。</w:t>
      </w:r>
      <w:r>
        <w:rPr>
          <w:rFonts w:ascii="Calibri" w:hAnsi="Calibri" w:eastAsia="PingFang SC"/>
        </w:rPr>
        <w:t xml:space="preserve"> 商业 Deep Research、统一工具 harness 下的通用 agent 和开源 Deep Research agent 是否表现出稳定的失败模式差异？</w:t>
      </w:r>
    </w:p>
    <w:p>
      <w:pPr>
        <w:pStyle w:val="Heading2"/>
      </w:pPr>
      <w:r>
        <w:t>2.2 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H1：</w:t>
      </w:r>
      <w:r>
        <w:rPr>
          <w:rFonts w:ascii="Calibri" w:hAnsi="Calibri" w:eastAsia="PingFang SC"/>
        </w:rPr>
        <w:t xml:space="preserve"> matched 交付物的用户适配显著高于 swapped 交付物，且该差异在共同质量门槛和目标用户盲评下成立。</w:t>
      </w:r>
    </w:p>
    <w:p>
      <w:pPr>
        <w:pStyle w:val="ListBullet"/>
      </w:pPr>
      <w:r>
        <w:rPr>
          <w:rFonts w:ascii="Calibri" w:hAnsi="Calibri" w:eastAsia="PingFang SC"/>
          <w:b/>
        </w:rPr>
        <w:t>H2：</w:t>
      </w:r>
      <w:r>
        <w:rPr>
          <w:rFonts w:ascii="Calibri" w:hAnsi="Calibri" w:eastAsia="PingFang SC"/>
        </w:rPr>
        <w:t xml:space="preserve"> 同一潜在 user-state 换成结构化 persona、语义等价自然历史或去显眼关键词改写时，核心 must-change 决策保持；渠道间利用率仍可能不同。</w:t>
      </w:r>
    </w:p>
    <w:p>
      <w:pPr>
        <w:pStyle w:val="ListBullet"/>
      </w:pPr>
      <w:r>
        <w:rPr>
          <w:rFonts w:ascii="Calibri" w:hAnsi="Calibri" w:eastAsia="PingFang SC"/>
          <w:b/>
        </w:rPr>
        <w:t>H3：</w:t>
      </w:r>
      <w:r>
        <w:rPr>
          <w:rFonts w:ascii="Calibri" w:hAnsi="Calibri" w:eastAsia="PingFang SC"/>
        </w:rPr>
        <w:t xml:space="preserve"> 长上下文干扰使用户特异适配比共同任务质量下降更快；re-anchor 能选择性恢复适配。</w:t>
      </w:r>
    </w:p>
    <w:p>
      <w:pPr>
        <w:pStyle w:val="ListBullet"/>
      </w:pPr>
      <w:r>
        <w:rPr>
          <w:rFonts w:ascii="Calibri" w:hAnsi="Calibri" w:eastAsia="PingFang SC"/>
          <w:b/>
        </w:rPr>
        <w:t>H4：</w:t>
      </w:r>
      <w:r>
        <w:rPr>
          <w:rFonts w:ascii="Calibri" w:hAnsi="Calibri" w:eastAsia="PingFang SC"/>
        </w:rPr>
        <w:t xml:space="preserve"> 不同 agent 类型在忽略约束、信息冲突、过度个性化和恢复失败上存在可重复差异。</w:t>
      </w:r>
    </w:p>
    <w:p>
      <w:r>
        <w:rPr>
          <w:rFonts w:ascii="Calibri" w:hAnsi="Calibri" w:eastAsia="PingFang SC"/>
        </w:rPr>
        <w:t>如果用户间的合格结果差异无法获得稳定人类一致性，matched 不优于 swapped，或 judge 无法通过预设门槛，将缩小研究构念和论文主张，而不是通过调整权重保留结论。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 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元数据定义 case，反事实任务族提供识别，rubric compiler 选择适用评价契约，分层 judge 与人评完成评分和校准。</w:t>
      </w:r>
    </w:p>
    <w:p>
      <w:pPr>
        <w:sectPr>
          <w:headerReference w:type="default" r:id="rId30"/>
          <w:footerReference w:type="default" r:id="rId31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3. 基准设计</w:t>
      </w:r>
    </w:p>
    <w:p>
      <w:pPr>
        <w:pStyle w:val="Heading2"/>
      </w:pPr>
      <w:r>
        <w:t>3.1 评测对象与范围</w:t>
      </w:r>
    </w:p>
    <w:p>
      <w:r>
        <w:rPr>
          <w:rFonts w:ascii="Calibri" w:hAnsi="Calibri" w:eastAsia="PingFang SC"/>
        </w:rPr>
        <w:t>一个 Deep Research episode 必须需要多步信息获取、验证、综合或实验，并交付供用户决策、行动、理解或后续生产使用的产物。纯事实问答、单次搜索和只需改变语气的任务不进入主集。交付物可包括研究报告、决策备忘录、行动计划、代码与技术说明、表格、幻灯片、网页或多文件项目。</w:t>
      </w:r>
    </w:p>
    <w:p>
      <w:pPr>
        <w:pStyle w:val="Heading2"/>
      </w:pPr>
      <w:r>
        <w:t>3.2 Deep Research Evaluation Atlas</w:t>
      </w:r>
    </w:p>
    <w:p>
      <w:r>
        <w:rPr>
          <w:rFonts w:ascii="Calibri" w:hAnsi="Calibri" w:eastAsia="PingFang SC"/>
        </w:rPr>
        <w:t>每个 case 用五个元数据平面定位：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Task：</w:t>
      </w:r>
      <w:r>
        <w:rPr>
          <w:rFonts w:ascii="Calibri" w:hAnsi="Calibri" w:eastAsia="PingFang SC"/>
        </w:rPr>
        <w:t xml:space="preserve"> 使用情境、研究意图、领域、交付物、需求强度和风险；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Environment：</w:t>
      </w:r>
      <w:r>
        <w:rPr>
          <w:rFonts w:ascii="Calibri" w:hAnsi="Calibri" w:eastAsia="PingFang SC"/>
        </w:rPr>
        <w:t xml:space="preserve"> frozen/live/private 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Task-conditioned User State：</w:t>
      </w:r>
      <w:r>
        <w:rPr>
          <w:rFonts w:ascii="Calibri" w:hAnsi="Calibri" w:eastAsia="PingFang SC"/>
        </w:rPr>
        <w:t xml:space="preserve"> 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User-signal Channel：</w:t>
      </w:r>
      <w:r>
        <w:rPr>
          <w:rFonts w:ascii="Calibri" w:hAnsi="Calibri" w:eastAsia="PingFang SC"/>
        </w:rPr>
        <w:t xml:space="preserve"> brief、persona、clarification、history、behavior、workspace 和 feedback；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System：</w:t>
      </w:r>
      <w:r>
        <w:rPr>
          <w:rFonts w:ascii="Calibri" w:hAnsi="Calibri" w:eastAsia="PingFang SC"/>
        </w:rPr>
        <w:t xml:space="preserve"> 模型/产品版本、搜索、记忆、规划、多 agent 和工具权限。</w:t>
      </w:r>
    </w:p>
    <w:p>
      <w:r>
        <w:rPr>
          <w:rFonts w:ascii="Calibri" w:hAnsi="Calibri" w:eastAsia="PingFang SC"/>
        </w:rPr>
        <w:t>Atlas 驱动抽样、实验条件生成、rubric 选择、结果切片和覆盖审计。每个组合标记为 tested、defined-only、structurally-inapplicable 或 deferred；未测试的组合不用于支持结论。</w:t>
      </w:r>
    </w:p>
    <w:p>
      <w:pPr>
        <w:pStyle w:val="Heading2"/>
      </w:pPr>
      <w:r>
        <w:t>3.3 任务抽样与失败分类</w:t>
      </w:r>
    </w:p>
    <w:p>
      <w:r>
        <w:rPr>
          <w:rFonts w:ascii="Calibri" w:hAnsi="Calibri" w:eastAsia="PingFang SC"/>
        </w:rPr>
        <w:t>任务按“使用情境 × 研究意图 × 需求剖面”组织。每个 family 依次完成：真实需求 seed → 冻结 task/evidence/deliverable core → 标注 stratum/intent/demand → 构造可调难度旋钮 → 配对 user states → 冻结差异契约 → 目标用户/专家 pilot。24 个 family 中 18 个覆盖 3×6 主单元，6 个复测关键单元；若只能产生文风差异或 matched/swapped 不稳定则删除。</w:t>
      </w:r>
    </w:p>
    <w:p>
      <w:r>
        <w:rPr>
          <w:rFonts w:ascii="Calibri" w:hAnsi="Calibri" w:eastAsia="PingFang SC"/>
        </w:rPr>
        <w:t>参考 Agent-SafetyBench，本项目分开“结果风险”和“预期失败模式”：前者回答最终错在何处，后者说明 case 设计用于暴露什么问题。预期标签不进入主 judge prompt；运行后的实际错误独立标注，并保留 other/emergent 类。</w:t>
      </w:r>
    </w:p>
    <w:p>
      <w:pPr>
        <w:pStyle w:val="Heading2"/>
      </w:pPr>
      <w:r>
        <w:t>3.4 反事实任务族与用户真值</w:t>
      </w:r>
    </w:p>
    <w:p>
      <w:r>
        <w:rPr>
          <w:rFonts w:ascii="Calibri" w:hAnsi="Calibri" w:eastAsia="PingFang SC"/>
        </w:rPr>
        <w:t>每个 family 固定任务、证据和资源，构造两个都自然且对结果有实质影响的用户。Persona 不先写 biography，而按“真实 source record → task-relevant axes → 共享 invariant core → 只改 2–3 个决策相关字段 → fact-to-contract map → 多 signal views → 负对照 → 人类验证”生成。每条事实记录来源、时间、可信度、相关性、敏感度和披露权限；structured persona、自然历史与澄清回答都由同一 ledger 编译。</w:t>
      </w:r>
    </w:p>
    <w:p>
      <w:r>
        <w:rPr>
          <w:rFonts w:ascii="Calibri" w:hAnsi="Calibri" w:eastAsia="PingFang SC"/>
        </w:rPr>
        <w:t>每个 user-task 在运行前冻结真值包：共同要求、用户特异要求、禁止事项、可接受替代、关键证据、严重错误封顶、预期澄清点和 matched/swapped 差异预测。关键偏好必须有用户确认或可审计来源，不得由人口属性或研究者直接推断。</w:t>
      </w:r>
    </w:p>
    <w:p>
      <w:pPr>
        <w:pStyle w:val="Heading1"/>
      </w:pPr>
      <w:r>
        <w:t>4. 实验设计</w:t>
      </w:r>
    </w:p>
    <w:p>
      <w:pPr>
        <w:pStyle w:val="Heading2"/>
      </w:pPr>
      <w:r>
        <w:t>4.1 核心矩阵</w:t>
      </w:r>
    </w:p>
    <w:p>
      <w:r>
        <w:rPr>
          <w:rFonts w:ascii="Calibri" w:hAnsi="Calibri" w:eastAsia="PingFang SC"/>
        </w:rPr>
        <w:t>24 task families × 2 users × 4 signal conditions × 3 agents = 最多 576 core episodes。</w:t>
      </w:r>
    </w:p>
    <w:p>
      <w:r>
        <w:rPr>
          <w:rFonts w:ascii="Calibri" w:hAnsi="Calibri" w:eastAsia="PingFang SC"/>
        </w:rPr>
        <w:t>四种信号条件为 task-only、structured persona、语义等价自然历史和 clarification-allowed。三类核心系统为商业 Deep Research 产品、统一搜索/工具 harness 下的通用 agent、可复现开源 Deep Research agent。代码 agent、多 agent、memory system 和第二个商业产品仅在 eligibility predicate 为真的 anchor family 中测试。</w:t>
      </w:r>
    </w:p>
    <w:p>
      <w:pPr>
        <w:pStyle w:val="Heading2"/>
      </w:pPr>
      <w:r>
        <w:t>4.2 评测轨道与压力测试</w:t>
      </w:r>
    </w:p>
    <w:p>
      <w:pPr>
        <w:pStyle w:val="ListBullet"/>
      </w:pPr>
      <w:r>
        <w:rPr>
          <w:rFonts w:ascii="Calibri" w:hAnsi="Calibri" w:eastAsia="PingFang SC"/>
          <w:b/>
        </w:rPr>
        <w:t>E1 Frozen Harness：</w:t>
      </w:r>
      <w:r>
        <w:rPr>
          <w:rFonts w:ascii="Calibri" w:hAnsi="Calibri" w:eastAsia="PingFang SC"/>
        </w:rPr>
        <w:t xml:space="preserve"> 只读证据快照、统一工具/预算、paired seed，形成因果主榜；</w:t>
      </w:r>
    </w:p>
    <w:p>
      <w:pPr>
        <w:pStyle w:val="ListBullet"/>
      </w:pPr>
      <w:r>
        <w:rPr>
          <w:rFonts w:ascii="Calibri" w:hAnsi="Calibri" w:eastAsia="PingFang SC"/>
          <w:b/>
        </w:rPr>
        <w:t>E2 Live Product/Web：</w:t>
      </w:r>
      <w:r>
        <w:rPr>
          <w:rFonts w:ascii="Calibri" w:hAnsi="Calibri" w:eastAsia="PingFang SC"/>
        </w:rPr>
        <w:t xml:space="preserve"> 使用原生商业/开源能力，记录版本、日期、地区、工具和 URL 快照，单独形成产品榜；</w:t>
      </w:r>
    </w:p>
    <w:p>
      <w:pPr>
        <w:pStyle w:val="ListBullet"/>
      </w:pPr>
      <w:r>
        <w:rPr>
          <w:rFonts w:ascii="Calibri" w:hAnsi="Calibri" w:eastAsia="PingFang SC"/>
          <w:b/>
        </w:rPr>
        <w:t>E3 Stateful Sandbox：</w:t>
      </w:r>
      <w:r>
        <w:rPr>
          <w:rFonts w:ascii="Calibri" w:hAnsi="Calibri" w:eastAsia="PingFang SC"/>
        </w:rPr>
        <w:t xml:space="preserve"> 事件脚本在固定 checkpoint 注入澄清、冲突、handoff、更新与恢复，共享前缀分叉形成机制榜。</w:t>
      </w:r>
    </w:p>
    <w:p>
      <w:r>
        <w:rPr>
          <w:rFonts w:ascii="Calibri" w:hAnsi="Calibri" w:eastAsia="PingFang SC"/>
        </w:rPr>
        <w:t>三者是运行环境，不是 agent 类型。核心模式 M1 商业产品、M2 controlled harness、M3 开源 DRA；code、multi-agent、memory-enhanced 只在适用 anchor 上做架构 probe。统一 adapter 至少实现 reset、provide_signal、run_until、inject_event、export_artifact 和 trace-level 声明。</w:t>
      </w:r>
    </w:p>
    <w:p>
      <w:r>
        <w:rPr>
          <w:rFonts w:ascii="Calibri" w:hAnsi="Calibri" w:eastAsia="PingFang SC"/>
        </w:rPr>
        <w:t xml:space="preserve">8 个 anchor 覆盖日常决策、学习职业、金融信息、健康信息、企业采购/合规、软件生产、学术前沿和政策传播。每个先建 clean family，再按 </w:t>
      </w:r>
      <w:r>
        <w:rPr>
          <w:rFonts w:ascii="Courier New" w:hAnsi="Courier New" w:eastAsia="PingFang SC"/>
          <w:color w:val="6A3E00"/>
          <w:sz w:val="20"/>
        </w:rPr>
        <w:t>S0 clean → S1 单轻扰动 → S2 单强扰动 → S3 两个正交扰动 → S4 同前缀恢复</w:t>
      </w:r>
      <w:r>
        <w:rPr>
          <w:rFonts w:ascii="Calibri" w:hAnsi="Calibri" w:eastAsia="PingFang SC"/>
        </w:rPr>
        <w:t xml:space="preserve"> 运行。difficulty 用 evidence、signal、horizon、orchestration、permission、counterfactual subtlety 六维 stress vector 表示；risk、failure mode 与强度分开，不求和成伪精确难度分。</w:t>
      </w:r>
    </w:p>
    <w:p>
      <w:r>
        <w:rPr>
          <w:rFonts w:ascii="Calibri" w:hAnsi="Calibri" w:eastAsia="PingFang SC"/>
        </w:rPr>
        <w:t>所有 anchor 运行 clean、persona swap 和 irrelevant-signal；其余 failure mode 用平衡不完全区组分配，每类至少落到两个不同 anchor 且有同前缀 control。Re-anchor 无论基线是否失败都成对运行。结果分四层报 base task profile、signal board、S0–S3 stress curve 和 S4 recovery/governance，不把不同轨道、预算或不适用任务混成一个 overall。</w:t>
      </w:r>
    </w:p>
    <w:p>
      <w:pPr>
        <w:pStyle w:val="Heading2"/>
      </w:pPr>
      <w:r>
        <w:t>4.3 最终结果与过程证据</w:t>
      </w:r>
    </w:p>
    <w:p>
      <w:r>
        <w:rPr>
          <w:rFonts w:ascii="Calibri" w:hAnsi="Calibri" w:eastAsia="PingFang SC"/>
        </w:rPr>
        <w:t>最终交付物是主榜对象，可支持用户适配、反事实优势、共同质量和误用边界的结论，但不能单独区分“未读取、遗忘、已知但未使用”。因此所有样本保存必要的工具调用、用户信息检索、权限访问和交付物；20%–30% 子集通过 memory、handoff 和 re-anchor 的受控重跑做机制诊断。如果该子集未完成，论文只报告最终交付物个性化，不声称已定位内部偏移机制。</w:t>
      </w:r>
    </w:p>
    <w:p>
      <w:pPr>
        <w:pStyle w:val="Heading1"/>
      </w:pPr>
      <w:r>
        <w:t>5. 评分方法</w:t>
      </w:r>
    </w:p>
    <w:p>
      <w:pPr>
        <w:pStyle w:val="Heading2"/>
      </w:pPr>
      <w:r>
        <w:t>5.1 Metadata-driven Rubric Compiler</w:t>
      </w:r>
    </w:p>
    <w:p>
      <w:r>
        <w:rPr>
          <w:rFonts w:ascii="Calibri" w:hAnsi="Calibri" w:eastAsia="PingFang SC"/>
        </w:rPr>
        <w:t>当前 case 的 rubric 由 core、personalization、research intent、deliverable、behavioral operator 和 risk 六类模块组成。统一的是叶节点 schema、适用条件和校准程序，而不是让所有任务共用一张评分表。每个叶节点包含评价类型、适用条件、预期方向、证据对象、评分锚点、严重性、权重和 verifier。</w:t>
      </w:r>
    </w:p>
    <w:p>
      <w:r>
        <w:rPr>
          <w:rFonts w:ascii="Calibri" w:hAnsi="Calibri" w:eastAsia="PingFang SC"/>
        </w:rPr>
        <w:t>四类评价契约为：</w:t>
      </w:r>
    </w:p>
    <w:p>
      <w:pPr>
        <w:pStyle w:val="ListBullet"/>
      </w:pPr>
      <w:r>
        <w:rPr>
          <w:rFonts w:ascii="Calibri" w:hAnsi="Calibri" w:eastAsia="PingFang SC"/>
          <w:b/>
        </w:rPr>
        <w:t>must-change：</w:t>
      </w:r>
      <w:r>
        <w:rPr>
          <w:rFonts w:ascii="Calibri" w:hAnsi="Calibri" w:eastAsia="PingFang SC"/>
        </w:rPr>
        <w:t xml:space="preserve"> 用户差异必须改变的内容、决策、深度、行动或披露边界；</w:t>
      </w:r>
    </w:p>
    <w:p>
      <w:pPr>
        <w:pStyle w:val="ListBullet"/>
      </w:pPr>
      <w:r>
        <w:rPr>
          <w:rFonts w:ascii="Calibri" w:hAnsi="Calibri" w:eastAsia="PingFang SC"/>
          <w:b/>
        </w:rPr>
        <w:t>must-hold：</w:t>
      </w:r>
      <w:r>
        <w:rPr>
          <w:rFonts w:ascii="Calibri" w:hAnsi="Calibri" w:eastAsia="PingFang SC"/>
        </w:rPr>
        <w:t xml:space="preserve"> 不应随用户改变的事实、证据和共同质量；</w:t>
      </w:r>
    </w:p>
    <w:p>
      <w:pPr>
        <w:pStyle w:val="ListBullet"/>
      </w:pPr>
      <w:r>
        <w:rPr>
          <w:rFonts w:ascii="Calibri" w:hAnsi="Calibri" w:eastAsia="PingFang SC"/>
          <w:b/>
        </w:rPr>
        <w:t>must-not：</w:t>
      </w:r>
      <w:r>
        <w:rPr>
          <w:rFonts w:ascii="Calibri" w:hAnsi="Calibri" w:eastAsia="PingFang SC"/>
        </w:rPr>
        <w:t xml:space="preserve"> 不得假设、泄露、越权或为迎合偏好而扭曲的内容；</w:t>
      </w:r>
    </w:p>
    <w:p>
      <w:pPr>
        <w:pStyle w:val="ListBullet"/>
      </w:pPr>
      <w:r>
        <w:rPr>
          <w:rFonts w:ascii="Calibri" w:hAnsi="Calibri" w:eastAsia="PingFang SC"/>
          <w:b/>
        </w:rPr>
        <w:t>clarify-if-unknown：</w:t>
      </w:r>
      <w:r>
        <w:rPr>
          <w:rFonts w:ascii="Calibri" w:hAnsi="Calibri" w:eastAsia="PingFang SC"/>
        </w:rPr>
        <w:t xml:space="preserve"> 缺少关键信息时应提问、给条件分支或明确说明假设。</w:t>
      </w:r>
    </w:p>
    <w:p>
      <w:pPr>
        <w:pStyle w:val="Heading2"/>
      </w:pPr>
      <w:r>
        <w:t>5.2 Metrics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 Quality (TQ) / Factual Reliability (FR)：</w:t>
      </w:r>
      <w:r>
        <w:rPr>
          <w:rFonts w:ascii="Calibri" w:hAnsi="Calibri" w:eastAsia="PingFang SC"/>
        </w:rPr>
        <w:t xml:space="preserve"> 任务完成、关键覆盖、claim 支持、引用覆盖和来源质量；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Personalization Fit (PF) / Misuse Penalty (MP)：</w:t>
      </w:r>
      <w:r>
        <w:rPr>
          <w:rFonts w:ascii="Calibri" w:hAnsi="Calibri" w:eastAsia="PingFang SC"/>
        </w:rPr>
        <w:t xml:space="preserve"> 用户特异要求完成率，以及刻板化、误用、隐私和过度迎合惩罚；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Fit Advantage (CFA)：</w:t>
      </w:r>
    </w:p>
    <w:p>
      <w:r>
        <w:rPr>
          <w:rFonts w:ascii="Calibri" w:hAnsi="Calibri" w:eastAsia="PingFang SC"/>
        </w:rPr>
        <w:t>CFA(a,b) = 1/2 [(PF_a(Y_a)-PF_a(Y_b)) + (PF_b(Y_b)-PF_b(Y_a))]；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Cue robustness：</w:t>
      </w:r>
      <w:r>
        <w:rPr>
          <w:rFonts w:ascii="Calibri" w:hAnsi="Calibri" w:eastAsia="PingFang SC"/>
        </w:rPr>
        <w:t xml:space="preserve"> 对语义等价 signal views 报告 worst-view CFA、Cue Gap、must-change/must-hold 一致率和 irrelevant-cue effect；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Retention / Recovery：</w:t>
      </w:r>
      <w:r>
        <w:rPr>
          <w:rFonts w:ascii="Calibri" w:hAnsi="Calibri" w:eastAsia="PingFang SC"/>
        </w:rPr>
        <w:t xml:space="preserve"> 长程干扰下的适配保留率、重新锚定后的恢复收益及其副作用。</w:t>
      </w:r>
    </w:p>
    <w:p>
      <w:r>
        <w:rPr>
          <w:rFonts w:ascii="Calibri" w:hAnsi="Calibri" w:eastAsia="PingFang SC"/>
        </w:rPr>
        <w:t>主榜先应用 TQ、FR 和关键隐私/安全门槛，再报告 PF-MP、CFA、cue robustness、Retention 和 Recovery。不将这些指标简单平均成允许相互补偿的总分。</w:t>
      </w:r>
    </w:p>
    <w:p>
      <w:pPr>
        <w:pStyle w:val="Heading2"/>
      </w:pPr>
      <w:r>
        <w:t>5.3 Judge 与 JudgeBench</w:t>
      </w:r>
    </w:p>
    <w:p>
      <w:r>
        <w:rPr>
          <w:rFonts w:ascii="Calibri" w:hAnsi="Calibri" w:eastAsia="PingFang SC"/>
        </w:rPr>
        <w:t>评估采用四层级联：L0 确定性 verifier 检查文件、测试、格式、预算和权限；L1 证据 verifier 检查 claim、引用支持和来源；L2 强通用 judge 按冻结的原子 rubric 逐项给分；L3 目标用户和领域专家分别复核用户效用与专业正确性。Judge 只获得当前叶节点需要且已授权的用户信息，必须引用交付物证据并允许弃权。</w:t>
      </w:r>
    </w:p>
    <w:p>
      <w:r>
        <w:rPr>
          <w:rFonts w:ascii="Calibri" w:hAnsi="Calibri" w:eastAsia="PingFang SC"/>
        </w:rPr>
        <w:t>JudgeBench 计划构建 240 个单元，覆盖位置交换、长度控制、漂亮格式诱饵、persona 关键词堆叠、事实更强但适配更弱、隐私泄露、边界答案和正确弃权。两个月主线为 verifier → strong judge → 20% 分层人评 + 分歧仲裁。SFT scorer 仅在第 4 周前获得足够高质量 gold 且不阻塞主实验时作为附录效率研究。</w:t>
      </w:r>
    </w:p>
    <w:p>
      <w:pPr>
        <w:pStyle w:val="Heading1"/>
      </w:pPr>
      <w:r>
        <w:t>6. 数据质量、统计与可复现性</w:t>
      </w:r>
    </w:p>
    <w:p>
      <w:pPr>
        <w:pStyle w:val="Heading2"/>
      </w:pPr>
      <w:r>
        <w:t>6.1 数据质量控制</w:t>
      </w:r>
    </w:p>
    <w:p>
      <w:r>
        <w:rPr>
          <w:rFonts w:ascii="Calibri" w:hAnsi="Calibri" w:eastAsia="PingFang SC"/>
        </w:rPr>
        <w:t>每个 task-persona 对必须通过六项门槛：场景真实、决策相关、用户间可区分、存在共同核心、信息最少且隐私可控、不依赖刻板印象。标注者先独立编写 must-change 和 must-hold，再处理分歧。人类真值分工固定：领域专家评事实、证据和共同质量，目标用户确认 must-change / must-not 并盲评 matched/swapped；纯合成 persona 只用于压力测试，不能单独支撑真实用户效用。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Rubric 必须通过 matched/swapped 区分力、cue-equivalence 稳健性、无关 persona invariance 和跨任务模块校准后才进入主实验。</w:t>
      </w:r>
    </w:p>
    <w:p>
      <w:pPr>
        <w:pStyle w:val="Heading2"/>
      </w:pPr>
      <w:r>
        <w:t>6.2 统计方案</w:t>
      </w:r>
    </w:p>
    <w:p>
      <w:r>
        <w:rPr>
          <w:rFonts w:ascii="Calibri" w:hAnsi="Calibri" w:eastAsia="PingFang SC"/>
        </w:rPr>
        <w:t>主效应采用 task family 内 matched/swapped 配对比较，报告 bootstrap 置信区间和 family-level 方差。渠道、agent 和压力条件通过分层模型或预注册配对检验分析。排名差异若小于人评与 judge 不确定性，不发布伪精确名次。</w:t>
      </w:r>
    </w:p>
    <w:p>
      <w:pPr>
        <w:pStyle w:val="Heading2"/>
      </w:pPr>
      <w:r>
        <w:t>6.3 可复现与污染控制</w:t>
      </w:r>
    </w:p>
    <w:p>
      <w:r>
        <w:rPr>
          <w:rFonts w:ascii="Calibri" w:hAnsi="Calibri" w:eastAsia="PingFang SC"/>
        </w:rPr>
        <w:t>运行记录包括模型/产品版本、搜索后端、时间戳、工具调用、交付物哈希、rubric 版本和 judge 版本。Frozen Core 保存证据快照与支持文档；Live Web 单独报告。开发集、私有测试集和 JudgeBench 对抗集分离；评分训练数据按 task family、用户、agent 和时间切分，避免同 family 泄漏。</w:t>
      </w:r>
    </w:p>
    <w:p>
      <w:pPr>
        <w:pStyle w:val="Heading1"/>
      </w:pPr>
      <w:r>
        <w:t>7. 预期贡献与成功标准</w:t>
      </w:r>
    </w:p>
    <w:p>
      <w:pPr>
        <w:pStyle w:val="Heading2"/>
      </w:pPr>
      <w:r>
        <w:t>7.1 预期贡献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可扩展的 Deep Research Evaluation Atlas 和 coverage manifest；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从 absolute adaptation evaluation 转向 counterfactual personalization effect identification：用 matched/swapped 交叉评分矩阵和三类预冻结契约识别方向正确、边界受控的用户特异变化；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由元数据选择适用模块的 rubric compiler 和不可补偿质量门槛；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分离结果风险与预期失败模式的诊断 taxonomy；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用于审计个性化评委的 JudgeBench 和可复现运行协议。</w:t>
      </w:r>
    </w:p>
    <w:p>
      <w:pPr>
        <w:pStyle w:val="Heading2"/>
      </w:pPr>
      <w:r>
        <w:t>7.2 Go / No-Go 标准</w:t>
      </w:r>
    </w:p>
    <w:p>
      <w:pPr>
        <w:pStyle w:val="ListBullet"/>
      </w:pPr>
      <w:r>
        <w:rPr>
          <w:rFonts w:ascii="Calibri" w:hAnsi="Calibri" w:eastAsia="PingFang SC"/>
        </w:rPr>
        <w:t>至少 80% 的 task family 能得到稳定的人类用户差异判断；</w:t>
      </w:r>
    </w:p>
    <w:p>
      <w:pPr>
        <w:pStyle w:val="ListBullet"/>
      </w:pPr>
      <w:r>
        <w:rPr>
          <w:rFonts w:ascii="Calibri" w:hAnsi="Calibri" w:eastAsia="PingFang SC"/>
        </w:rPr>
        <w:t>参考交付物在共同质量达标时显示 matched 优于 swapped；</w:t>
      </w:r>
    </w:p>
    <w:p>
      <w:pPr>
        <w:pStyle w:val="ListBullet"/>
      </w:pPr>
      <w:r>
        <w:rPr>
          <w:rFonts w:ascii="Calibri" w:hAnsi="Calibri" w:eastAsia="PingFang SC"/>
        </w:rPr>
        <w:t>Judge 达到预注册一致性与校准门槛，否则扩大人评并停止自动精细排名；</w:t>
      </w:r>
    </w:p>
    <w:p>
      <w:pPr>
        <w:pStyle w:val="ListBullet"/>
      </w:pPr>
      <w:r>
        <w:rPr>
          <w:rFonts w:ascii="Calibri" w:hAnsi="Calibri" w:eastAsia="PingFang SC"/>
        </w:rPr>
        <w:t>个性化效应在共同质量门槛、目标用户盲评与语义等价信号检验下仍存在；</w:t>
      </w:r>
    </w:p>
    <w:p>
      <w:pPr>
        <w:pStyle w:val="ListBullet"/>
      </w:pPr>
      <w:r>
        <w:rPr>
          <w:rFonts w:ascii="Calibri" w:hAnsi="Calibri" w:eastAsia="PingFang SC"/>
        </w:rPr>
        <w:t>两个月内完成冻结主矩阵、覆盖审计、至少 20% 人评和可复现分析；所有 real-user-gold family 与不少于 8 个分层 family 收集目标用户 matched/swapped 盲评。</w:t>
      </w:r>
    </w:p>
    <w:p>
      <w:pPr>
        <w:pStyle w:val="Heading1"/>
      </w:pPr>
      <w:r>
        <w:t>8. 时间表、风险与论文边界</w:t>
      </w:r>
    </w:p>
    <w:p>
      <w:pPr>
        <w:pStyle w:val="Heading2"/>
      </w:pPr>
      <w:r>
        <w:t>8.1 八周计划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失败时的收缩方案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Atlas、schema、coverage 和 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缩小 ontology，不增加新分支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family、48 user state 和 persona-task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删除无稳定用户差异的任务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真值包、四类契约和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无区分力的 rubric 不进主榜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JudgeBench、judge 基线和 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不过门则增加人评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完成主矩阵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冻结版本，停止新增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人评和错误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只保留证据充分的机制结论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统计、覆盖审计、消融和 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删除不受支持的支线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不再增加 taxonomy 或系统</w:t>
            </w:r>
          </w:p>
        </w:tc>
      </w:tr>
    </w:tbl>
    <w:p>
      <w:pPr>
        <w:spacing w:after="40"/>
      </w:pPr>
    </w:p>
    <w:p>
      <w:pPr>
        <w:pStyle w:val="Heading2"/>
      </w:pPr>
      <w:r>
        <w:t>8.2 主要风险及缓解</w:t>
      </w:r>
    </w:p>
    <w:p>
      <w:pPr>
        <w:pStyle w:val="ListBullet"/>
      </w:pPr>
      <w:r>
        <w:rPr>
          <w:rFonts w:ascii="Calibri" w:hAnsi="Calibri" w:eastAsia="PingFang SC"/>
          <w:b/>
        </w:rPr>
        <w:t>用户真值不成立：</w:t>
      </w:r>
      <w:r>
        <w:rPr>
          <w:rFonts w:ascii="Calibri" w:hAnsi="Calibri" w:eastAsia="PingFang SC"/>
        </w:rPr>
        <w:t xml:space="preserve"> 关键偏好由用户确认；双人独立标注与仲裁；删除无稳定差异的 family。</w:t>
      </w:r>
    </w:p>
    <w:p>
      <w:pPr>
        <w:pStyle w:val="ListBullet"/>
      </w:pPr>
      <w:r>
        <w:rPr>
          <w:rFonts w:ascii="Calibri" w:hAnsi="Calibri" w:eastAsia="PingFang SC"/>
          <w:b/>
        </w:rPr>
        <w:t>Rubric 循环定义：</w:t>
      </w:r>
      <w:r>
        <w:rPr>
          <w:rFonts w:ascii="Calibri" w:hAnsi="Calibri" w:eastAsia="PingFang SC"/>
        </w:rPr>
        <w:t xml:space="preserve"> rubric 在模型输出前冻结，并通过错配、无关信息和参考交付物校准。</w:t>
      </w:r>
    </w:p>
    <w:p>
      <w:pPr>
        <w:pStyle w:val="ListBullet"/>
      </w:pPr>
      <w:r>
        <w:rPr>
          <w:rFonts w:ascii="Calibri" w:hAnsi="Calibri" w:eastAsia="PingFang SC"/>
          <w:b/>
        </w:rPr>
        <w:t>把结果效应误写成内部理解：</w:t>
      </w:r>
      <w:r>
        <w:rPr>
          <w:rFonts w:ascii="Calibri" w:hAnsi="Calibri" w:eastAsia="PingFang SC"/>
        </w:rPr>
        <w:t xml:space="preserve"> 主张限定为反事实特异性；加入语义等价表达、去关键词改写和无关属性不变性测试。</w:t>
      </w:r>
    </w:p>
    <w:p>
      <w:pPr>
        <w:pStyle w:val="ListBullet"/>
      </w:pPr>
      <w:r>
        <w:rPr>
          <w:rFonts w:ascii="Calibri" w:hAnsi="Calibri" w:eastAsia="PingFang SC"/>
          <w:b/>
        </w:rPr>
        <w:t>Judge 可靠性不足：</w:t>
      </w:r>
      <w:r>
        <w:rPr>
          <w:rFonts w:ascii="Calibri" w:hAnsi="Calibri" w:eastAsia="PingFang SC"/>
        </w:rPr>
        <w:t xml:space="preserve"> 明确引用 PDR 的 PCA=0.43 与窄校准边界，并运行位置交换、长度匹配、wrong-user swap、关键词/隐私诱饵和弃权测试；这是测量增量，核心方法增量仍是 estimand 转换。</w:t>
      </w:r>
    </w:p>
    <w:p>
      <w:pPr>
        <w:pStyle w:val="ListBullet"/>
      </w:pPr>
      <w:r>
        <w:rPr>
          <w:rFonts w:ascii="Calibri" w:hAnsi="Calibri" w:eastAsia="PingFang SC"/>
          <w:b/>
        </w:rPr>
        <w:t>跨 agent 比较不公平：</w:t>
      </w:r>
      <w:r>
        <w:rPr>
          <w:rFonts w:ascii="Calibri" w:hAnsi="Calibri" w:eastAsia="PingFang SC"/>
        </w:rPr>
        <w:t xml:space="preserve"> 记录工具、预算和版本；受控 harness 与端到端产品分开报告。</w:t>
      </w:r>
    </w:p>
    <w:p>
      <w:pPr>
        <w:pStyle w:val="ListBullet"/>
      </w:pPr>
      <w:r>
        <w:rPr>
          <w:rFonts w:ascii="Calibri" w:hAnsi="Calibri" w:eastAsia="PingFang SC"/>
          <w:b/>
        </w:rPr>
        <w:t>范围过大：</w:t>
      </w:r>
      <w:r>
        <w:rPr>
          <w:rFonts w:ascii="Calibri" w:hAnsi="Calibri" w:eastAsia="PingFang SC"/>
        </w:rPr>
        <w:t xml:space="preserve"> 主矩阵只包含 24 family、4 条件和 3 类 agent；扩展系统不阻塞主论文。</w:t>
      </w:r>
    </w:p>
    <w:p>
      <w:pPr>
        <w:pStyle w:val="Heading2"/>
      </w:pPr>
      <w:r>
        <w:t>8.3 论文主张边界</w:t>
      </w:r>
    </w:p>
    <w:p>
      <w:r>
        <w:rPr>
          <w:rFonts w:ascii="Calibri" w:hAnsi="Calibri" w:eastAsia="PingFang SC"/>
        </w:rPr>
        <w:t>若只完成 Outcome Core，论文仅声称测量最终交付物的用户适配。只有当轨迹审计与受控重跑完成时，才报告保持、更新和恢复机制。本项目不声称首版覆盖所有 Deep Research 模式，只对 coverage manifest 中标记为 tested 的组合作结论。</w:t>
      </w: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OpenCompass Team. </w:t>
      </w:r>
      <w:r>
        <w:rPr>
          <w:rFonts w:ascii="Calibri" w:hAnsi="Calibri" w:eastAsia="PingFang SC"/>
          <w:i/>
          <w:sz w:val="15"/>
        </w:rPr>
        <w:t>OpenCompass: A Universal Evaluation Platform for Large Language Models</w:t>
      </w:r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EvalScope Documentation. </w:t>
      </w:r>
      <w:r>
        <w:rPr>
          <w:rFonts w:ascii="Calibri" w:hAnsi="Calibri" w:eastAsia="PingFang SC"/>
          <w:i/>
          <w:sz w:val="15"/>
        </w:rPr>
        <w:t>Getting Started and Evaluation Backends</w:t>
      </w:r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Zhang et al. </w:t>
      </w:r>
      <w:r>
        <w:rPr>
          <w:rFonts w:ascii="Calibri" w:hAnsi="Calibri" w:eastAsia="PingFang SC"/>
          <w:i/>
          <w:sz w:val="15"/>
        </w:rPr>
        <w:t>Agent-SafetyBench: Evaluating the Safety of LLM Agents</w:t>
      </w:r>
      <w:r>
        <w:rPr>
          <w:rFonts w:ascii="Calibri" w:hAnsi="Calibri" w:eastAsia="PingFang SC"/>
          <w:sz w:val="15"/>
        </w:rPr>
        <w:t>. arXiv:2412.14470,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</w:t>
      </w:r>
      <w:r>
        <w:rPr>
          <w:rFonts w:ascii="Calibri" w:hAnsi="Calibri" w:eastAsia="PingFang SC"/>
          <w:i/>
          <w:sz w:val="15"/>
        </w:rPr>
        <w:t>Towards Personalized Deep Research: Benchmarks and Evaluations</w:t>
      </w:r>
      <w:r>
        <w:rPr>
          <w:rFonts w:ascii="Calibri" w:hAnsi="Calibri" w:eastAsia="PingFang SC"/>
          <w:sz w:val="15"/>
        </w:rPr>
        <w:t>. arXiv:2509.25106,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Wang et al. </w:t>
      </w:r>
      <w:r>
        <w:rPr>
          <w:rFonts w:ascii="Calibri" w:hAnsi="Calibri" w:eastAsia="PingFang SC"/>
          <w:i/>
          <w:sz w:val="15"/>
        </w:rPr>
        <w:t>LiveResearchBench: A Live Benchmark for User-Centric Deep Research in the Wild</w:t>
      </w:r>
      <w:r>
        <w:rPr>
          <w:rFonts w:ascii="Calibri" w:hAnsi="Calibri" w:eastAsia="PingFang SC"/>
          <w:sz w:val="15"/>
        </w:rPr>
        <w:t>. arXiv:2510.14240,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Sharma et al. </w:t>
      </w:r>
      <w:r>
        <w:rPr>
          <w:rFonts w:ascii="Calibri" w:hAnsi="Calibri" w:eastAsia="PingFang SC"/>
          <w:i/>
          <w:sz w:val="15"/>
        </w:rPr>
        <w:t>ResearchRubrics: A Benchmark of Prompts and Rubrics for Evaluating Deep Research Agents</w:t>
      </w:r>
      <w:r>
        <w:rPr>
          <w:rFonts w:ascii="Calibri" w:hAnsi="Calibri" w:eastAsia="PingFang SC"/>
          <w:sz w:val="15"/>
        </w:rPr>
        <w:t>. arXiv:2511.07685,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[7] Starace et al. </w:t>
      </w:r>
      <w:r>
        <w:rPr>
          <w:rFonts w:ascii="Calibri" w:hAnsi="Calibri" w:eastAsia="PingFang SC"/>
          <w:i/>
          <w:sz w:val="15"/>
        </w:rPr>
        <w:t>PaperBench: Evaluating AI's Ability to Replicate AI Research</w:t>
      </w:r>
      <w:r>
        <w:rPr>
          <w:rFonts w:ascii="Calibri" w:hAnsi="Calibri" w:eastAsia="PingFang SC"/>
          <w:sz w:val="15"/>
        </w:rPr>
        <w:t>. OpenAI,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[8] Yoran et al. </w:t>
      </w:r>
      <w:r>
        <w:rPr>
          <w:rFonts w:ascii="Calibri" w:hAnsi="Calibri" w:eastAsia="PingFang SC"/>
          <w:i/>
          <w:sz w:val="15"/>
        </w:rPr>
        <w:t>AssistantBench: Can Web Agents Solve Realistic and Time-Consuming Tasks?</w:t>
      </w:r>
      <w:r>
        <w:rPr>
          <w:rFonts w:ascii="Calibri" w:hAnsi="Calibri" w:eastAsia="PingFang SC"/>
          <w:sz w:val="15"/>
        </w:rPr>
        <w:t xml:space="preserve"> arXiv:2407.15711,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[9] Java et al. </w:t>
      </w:r>
      <w:r>
        <w:rPr>
          <w:rFonts w:ascii="Calibri" w:hAnsi="Calibri" w:eastAsia="PingFang SC"/>
          <w:i/>
          <w:sz w:val="15"/>
        </w:rPr>
        <w:t>Characterizing Deep Research: A Benchmark and Formal Definition</w:t>
      </w:r>
      <w:r>
        <w:rPr>
          <w:rFonts w:ascii="Calibri" w:hAnsi="Calibri" w:eastAsia="PingFang SC"/>
          <w:sz w:val="15"/>
        </w:rPr>
        <w:t>. arXiv:2508.04183,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[10] Abaskohi et al. </w:t>
      </w:r>
      <w:r>
        <w:rPr>
          <w:rFonts w:ascii="Calibri" w:hAnsi="Calibri" w:eastAsia="PingFang SC"/>
          <w:i/>
          <w:sz w:val="15"/>
        </w:rPr>
        <w:t>DRBench: A Realistic Benchmark for Enterprise Deep Research</w:t>
      </w:r>
      <w:r>
        <w:rPr>
          <w:rFonts w:ascii="Calibri" w:hAnsi="Calibri" w:eastAsia="PingFang SC"/>
          <w:sz w:val="15"/>
        </w:rPr>
        <w:t>. arXiv:2510.00172,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[11] Liang et al. </w:t>
      </w:r>
      <w:r>
        <w:rPr>
          <w:rFonts w:ascii="Calibri" w:hAnsi="Calibri" w:eastAsia="PingFang SC"/>
          <w:i/>
          <w:sz w:val="15"/>
        </w:rPr>
        <w:t>Holistic Evaluation of Language Models</w:t>
      </w:r>
      <w:r>
        <w:rPr>
          <w:rFonts w:ascii="Calibri" w:hAnsi="Calibri" w:eastAsia="PingFang SC"/>
          <w:sz w:val="15"/>
        </w:rPr>
        <w:t>. TMLR, 2023.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[12] Ribeiro et al. </w:t>
      </w:r>
      <w:r>
        <w:rPr>
          <w:rFonts w:ascii="Calibri" w:hAnsi="Calibri" w:eastAsia="PingFang SC"/>
          <w:i/>
          <w:sz w:val="15"/>
        </w:rPr>
        <w:t>Beyond Accuracy: Behavioral Testing of NLP Models with CheckList</w:t>
      </w:r>
      <w:r>
        <w:rPr>
          <w:rFonts w:ascii="Calibri" w:hAnsi="Calibri" w:eastAsia="PingFang SC"/>
          <w:sz w:val="15"/>
        </w:rPr>
        <w:t>. ACL, 2020.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[13] Reuel et al. </w:t>
      </w:r>
      <w:r>
        <w:rPr>
          <w:rFonts w:ascii="Calibri" w:hAnsi="Calibri" w:eastAsia="PingFang SC"/>
          <w:i/>
          <w:sz w:val="15"/>
        </w:rPr>
        <w:t>BetterBench: Assessing AI Benchmarks, Uncovering Issues, and Establishing Best Practices</w:t>
      </w:r>
      <w:r>
        <w:rPr>
          <w:rFonts w:ascii="Calibri" w:hAnsi="Calibri" w:eastAsia="PingFang SC"/>
          <w:sz w:val="15"/>
        </w:rPr>
        <w:t>. arXiv:2411.12990,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[14] Zhu et al. </w:t>
      </w:r>
      <w:r>
        <w:rPr>
          <w:rFonts w:ascii="Calibri" w:hAnsi="Calibri" w:eastAsia="PingFang SC"/>
          <w:i/>
          <w:sz w:val="15"/>
        </w:rPr>
        <w:t>JudgeLM: Fine-tuned Large Language Models are Scalable Judges</w:t>
      </w:r>
      <w:r>
        <w:rPr>
          <w:rFonts w:ascii="Calibri" w:hAnsi="Calibri" w:eastAsia="PingFang SC"/>
          <w:sz w:val="15"/>
        </w:rPr>
        <w:t>. arXiv:2310.17631, 2023.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[15] Huang et al. </w:t>
      </w:r>
      <w:r>
        <w:rPr>
          <w:rFonts w:ascii="Calibri" w:hAnsi="Calibri" w:eastAsia="PingFang SC"/>
          <w:i/>
          <w:sz w:val="15"/>
        </w:rPr>
        <w:t>An Empirical Study of LLM-as-a-Judge for LLM Evaluation</w:t>
      </w:r>
      <w:r>
        <w:rPr>
          <w:rFonts w:ascii="Calibri" w:hAnsi="Calibri" w:eastAsia="PingFang SC"/>
          <w:sz w:val="15"/>
        </w:rPr>
        <w:t>. arXiv:2403.02839,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[16] Zeng et al. </w:t>
      </w:r>
      <w:r>
        <w:rPr>
          <w:rFonts w:ascii="Calibri" w:hAnsi="Calibri" w:eastAsia="PingFang SC"/>
          <w:i/>
          <w:sz w:val="15"/>
        </w:rPr>
        <w:t>Setoka: A Benchmark for Hierarchical User Understanding in Personalized Agents over Heterogeneous Data</w:t>
      </w:r>
      <w:r>
        <w:rPr>
          <w:rFonts w:ascii="Calibri" w:hAnsi="Calibri" w:eastAsia="PingFang SC"/>
          <w:sz w:val="15"/>
        </w:rPr>
        <w:t>. arXiv:2607.27056,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[17] Qian et al. </w:t>
      </w:r>
      <w:r>
        <w:rPr>
          <w:rFonts w:ascii="Calibri" w:hAnsi="Calibri" w:eastAsia="PingFang SC"/>
          <w:i/>
          <w:sz w:val="15"/>
        </w:rPr>
        <w:t>Toward User-Conditioned Evaluation of Personal LLM Agents under Temporal Interventions</w:t>
      </w:r>
      <w:r>
        <w:rPr>
          <w:rFonts w:ascii="Calibri" w:hAnsi="Calibri" w:eastAsia="PingFang SC"/>
          <w:sz w:val="15"/>
        </w:rPr>
        <w:t>. arXiv:2607.21635,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[18] Yang et al. </w:t>
      </w:r>
      <w:r>
        <w:rPr>
          <w:rFonts w:ascii="Calibri" w:hAnsi="Calibri" w:eastAsia="PingFang SC"/>
          <w:i/>
          <w:sz w:val="15"/>
        </w:rPr>
        <w:t>PersonaTrail: Benchmarking Personalized Web Agents through Browsing Trails</w:t>
      </w:r>
      <w:r>
        <w:rPr>
          <w:rFonts w:ascii="Calibri" w:hAnsi="Calibri" w:eastAsia="PingFang SC"/>
          <w:sz w:val="15"/>
        </w:rPr>
        <w:t>. arXiv:2607.20482,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[19] Todisco et al. </w:t>
      </w:r>
      <w:r>
        <w:rPr>
          <w:rFonts w:ascii="Calibri" w:hAnsi="Calibri" w:eastAsia="PingFang SC"/>
          <w:i/>
          <w:sz w:val="15"/>
        </w:rPr>
        <w:t>TARS: A Theory-of-Mind Agent for Personalized In-IDE Code Comprehension</w:t>
      </w:r>
      <w:r>
        <w:rPr>
          <w:rFonts w:ascii="Calibri" w:hAnsi="Calibri" w:eastAsia="PingFang SC"/>
          <w:sz w:val="15"/>
        </w:rPr>
        <w:t>. arXiv:2607.15948,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[20] Yang. </w:t>
      </w:r>
      <w:r>
        <w:rPr>
          <w:rFonts w:ascii="Calibri" w:hAnsi="Calibri" w:eastAsia="PingFang SC"/>
          <w:i/>
          <w:sz w:val="15"/>
        </w:rPr>
        <w:t>Self-Aware Recursively Self-Improving Agents for Personal Singularity</w:t>
      </w:r>
      <w:r>
        <w:rPr>
          <w:rFonts w:ascii="Calibri" w:hAnsi="Calibri" w:eastAsia="PingFang SC"/>
          <w:sz w:val="15"/>
        </w:rPr>
        <w:t>. arXiv:2607.12254,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[21] Mao et al. </w:t>
      </w:r>
      <w:r>
        <w:rPr>
          <w:rFonts w:ascii="Calibri" w:hAnsi="Calibri" w:eastAsia="PingFang SC"/>
          <w:i/>
          <w:sz w:val="15"/>
        </w:rPr>
        <w:t>Agents Don't Just Agree, They Remember: Benchmarking Persistent Sycophancy in Stateful Personal Agents</w:t>
      </w:r>
      <w:r>
        <w:rPr>
          <w:rFonts w:ascii="Calibri" w:hAnsi="Calibri" w:eastAsia="PingFang SC"/>
          <w:sz w:val="15"/>
        </w:rPr>
        <w:t>. arXiv:2607.10526,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[22] Yang et al. </w:t>
      </w:r>
      <w:r>
        <w:rPr>
          <w:rFonts w:ascii="Calibri" w:hAnsi="Calibri" w:eastAsia="PingFang SC"/>
          <w:i/>
          <w:sz w:val="15"/>
        </w:rPr>
        <w:t>APeB: Benchmarking Personalization Ability of Large Language Model Agents</w:t>
      </w:r>
      <w:r>
        <w:rPr>
          <w:rFonts w:ascii="Calibri" w:hAnsi="Calibri" w:eastAsia="PingFang SC"/>
          <w:sz w:val="15"/>
        </w:rPr>
        <w:t>. arXiv:2607.03162,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[23] Salemi et al. </w:t>
      </w:r>
      <w:r>
        <w:rPr>
          <w:rFonts w:ascii="Calibri" w:hAnsi="Calibri" w:eastAsia="PingFang SC"/>
          <w:i/>
          <w:sz w:val="15"/>
        </w:rPr>
        <w:t>LaMP: When Large Language Models Meet Personalization</w:t>
      </w:r>
      <w:r>
        <w:rPr>
          <w:rFonts w:ascii="Calibri" w:hAnsi="Calibri" w:eastAsia="PingFang SC"/>
          <w:sz w:val="15"/>
        </w:rPr>
        <w:t xml:space="preserve">. ACL, 2024.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https://aclanthology.org/2024.acl-long.399/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[24] Zhao et al. </w:t>
      </w:r>
      <w:r>
        <w:rPr>
          <w:rFonts w:ascii="Calibri" w:hAnsi="Calibri" w:eastAsia="PingFang SC"/>
          <w:i/>
          <w:sz w:val="15"/>
        </w:rPr>
        <w:t>PersonaLens: A Benchmark for Personalization Evaluation in Conversational AI Assistants</w:t>
      </w:r>
      <w:r>
        <w:rPr>
          <w:rFonts w:ascii="Calibri" w:hAnsi="Calibri" w:eastAsia="PingFang SC"/>
          <w:sz w:val="15"/>
        </w:rPr>
        <w:t xml:space="preserve">. Findings of ACL, 2025. </w:t>
      </w:r>
      <w:hyperlink r:id="rId1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https://aclanthology.org/2025.findings-acl.927/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[25] Hao et al. </w:t>
      </w:r>
      <w:r>
        <w:rPr>
          <w:rFonts w:ascii="Calibri" w:hAnsi="Calibri" w:eastAsia="PingFang SC"/>
          <w:i/>
          <w:sz w:val="15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5"/>
        </w:rPr>
        <w:t xml:space="preserve">. ACL, 2025. </w:t>
      </w:r>
      <w:hyperlink r:id="rId1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https://aclanthology.org/2025.acl-long.1064/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[26] Jiang et al. </w:t>
      </w:r>
      <w:r>
        <w:rPr>
          <w:rFonts w:ascii="Calibri" w:hAnsi="Calibri" w:eastAsia="PingFang SC"/>
          <w:i/>
          <w:sz w:val="15"/>
        </w:rPr>
        <w:t>Know Me, Respond to Me: Benchmarking LLMs for Dynamic User Profiling and Personalized Responses at Scale</w:t>
      </w:r>
      <w:r>
        <w:rPr>
          <w:rFonts w:ascii="Calibri" w:hAnsi="Calibri" w:eastAsia="PingFang SC"/>
          <w:sz w:val="15"/>
        </w:rPr>
        <w:t>. arXiv:2504.14225,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[27] Li et al. </w:t>
      </w:r>
      <w:r>
        <w:rPr>
          <w:rFonts w:ascii="Calibri" w:hAnsi="Calibri" w:eastAsia="PingFang SC"/>
          <w:i/>
          <w:sz w:val="15"/>
        </w:rPr>
        <w:t>Personalized Deep Research: A User-Centric Framework, Dataset, and Hybrid Evaluation for Knowledge Discovery</w:t>
      </w:r>
      <w:r>
        <w:rPr>
          <w:rFonts w:ascii="Calibri" w:hAnsi="Calibri" w:eastAsia="PingFang SC"/>
          <w:sz w:val="15"/>
        </w:rPr>
        <w:t>. arXiv:2605.10530,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[28] Balepur et al. </w:t>
      </w:r>
      <w:r>
        <w:rPr>
          <w:rFonts w:ascii="Calibri" w:hAnsi="Calibri" w:eastAsia="PingFang SC"/>
          <w:i/>
          <w:sz w:val="15"/>
        </w:rPr>
        <w:t>Language Models Don't Know What You Want: Evaluating Personalization in Deep Research Needs Real Users</w:t>
      </w:r>
      <w:r>
        <w:rPr>
          <w:rFonts w:ascii="Calibri" w:hAnsi="Calibri" w:eastAsia="PingFang SC"/>
          <w:sz w:val="15"/>
        </w:rPr>
        <w:t xml:space="preserve">. ACL, 2026.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https://aclanthology.org/2026.acl-long.723/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[29] Liang et al. </w:t>
      </w:r>
      <w:r>
        <w:rPr>
          <w:rFonts w:ascii="Calibri" w:hAnsi="Calibri" w:eastAsia="PingFang SC"/>
          <w:i/>
          <w:sz w:val="15"/>
        </w:rPr>
        <w:t>Learning Personalized Agents from Human Feedback</w:t>
      </w:r>
      <w:r>
        <w:rPr>
          <w:rFonts w:ascii="Calibri" w:hAnsi="Calibri" w:eastAsia="PingFang SC"/>
          <w:sz w:val="15"/>
        </w:rPr>
        <w:t>. arXiv:2602.16173,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[30] Shen et al. </w:t>
      </w:r>
      <w:r>
        <w:rPr>
          <w:rFonts w:ascii="Calibri" w:hAnsi="Calibri" w:eastAsia="PingFang SC"/>
          <w:i/>
          <w:sz w:val="15"/>
        </w:rPr>
        <w:t>Mem2ActBench: A Benchmark for Evaluating Long-Term Memory Utilization in Task-Oriented Autonomous Agents</w:t>
      </w:r>
      <w:r>
        <w:rPr>
          <w:rFonts w:ascii="Calibri" w:hAnsi="Calibri" w:eastAsia="PingFang SC"/>
          <w:sz w:val="15"/>
        </w:rPr>
        <w:t xml:space="preserve">. ACL, 2026. </w:t>
      </w:r>
      <w:hyperlink r:id="rId2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https://aclanthology.org/2026.acl-long.370/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[31] Guo et al. </w:t>
      </w:r>
      <w:r>
        <w:rPr>
          <w:rFonts w:ascii="Calibri" w:hAnsi="Calibri" w:eastAsia="PingFang SC"/>
          <w:i/>
          <w:sz w:val="15"/>
        </w:rPr>
        <w:t>When Personalization Legitimizes Risks: Uncovering Safety Vulnerabilities in Personalized Dialogue Agents</w:t>
      </w:r>
      <w:r>
        <w:rPr>
          <w:rFonts w:ascii="Calibri" w:hAnsi="Calibri" w:eastAsia="PingFang SC"/>
          <w:sz w:val="15"/>
        </w:rPr>
        <w:t xml:space="preserve">. ACL, 2026. </w:t>
      </w:r>
      <w:hyperlink r:id="rId2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https://aclanthology.org/2026.acl-long.1260/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[32] Weeber et al. </w:t>
      </w:r>
      <w:r>
        <w:rPr>
          <w:rFonts w:ascii="Calibri" w:hAnsi="Calibri" w:eastAsia="PingFang SC"/>
          <w:i/>
          <w:sz w:val="15"/>
        </w:rPr>
        <w:t>One Persona, Many Cues, Different Results: How Sociodemographic Cues Impact LLM Personalization</w:t>
      </w:r>
      <w:r>
        <w:rPr>
          <w:rFonts w:ascii="Calibri" w:hAnsi="Calibri" w:eastAsia="PingFang SC"/>
          <w:sz w:val="15"/>
        </w:rPr>
        <w:t xml:space="preserve">. ACL, 2026. </w:t>
      </w:r>
      <w:hyperlink r:id="rId3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https://aclanthology.org/2026.acl-long.2079/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[33] Qiu et al. </w:t>
      </w:r>
      <w:r>
        <w:rPr>
          <w:rFonts w:ascii="Calibri" w:hAnsi="Calibri" w:eastAsia="PingFang SC"/>
          <w:i/>
          <w:sz w:val="15"/>
        </w:rPr>
        <w:t>Preference-Aware Rubric Learning for Personalized Evaluation</w:t>
      </w:r>
      <w:r>
        <w:rPr>
          <w:rFonts w:ascii="Calibri" w:hAnsi="Calibri" w:eastAsia="PingFang SC"/>
          <w:sz w:val="15"/>
        </w:rPr>
        <w:t xml:space="preserve">. arXiv:2605.31545, 2026. </w:t>
      </w:r>
      <w:hyperlink r:id="rId3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https://arxiv.org/abs/2605.31545</w:t>
        </w:r>
      </w:hyperlink>
    </w:p>
    <w:sectPr w:rsidR="00FC693F" w:rsidRPr="0006063C" w:rsidSect="00034616">
      <w:headerReference w:type="default" r:id="rId33"/>
      <w:footerReference w:type="default" r:id="rId34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clanthology.org/2024.acl-long.399/" TargetMode="External"/><Relationship Id="rId12" Type="http://schemas.openxmlformats.org/officeDocument/2006/relationships/hyperlink" Target="https://aclanthology.org/2025.findings-acl.927/" TargetMode="External"/><Relationship Id="rId13" Type="http://schemas.openxmlformats.org/officeDocument/2006/relationships/hyperlink" Target="https://aclanthology.org/2025.acl-long.1064/" TargetMode="External"/><Relationship Id="rId14" Type="http://schemas.openxmlformats.org/officeDocument/2006/relationships/hyperlink" Target="https://arxiv.org/abs/2504.14225" TargetMode="External"/><Relationship Id="rId15" Type="http://schemas.openxmlformats.org/officeDocument/2006/relationships/hyperlink" Target="https://arxiv.org/abs/2605.10530" TargetMode="External"/><Relationship Id="rId16" Type="http://schemas.openxmlformats.org/officeDocument/2006/relationships/hyperlink" Target="https://aclanthology.org/2026.acl-long.723/" TargetMode="External"/><Relationship Id="rId17" Type="http://schemas.openxmlformats.org/officeDocument/2006/relationships/hyperlink" Target="https://arxiv.org/abs/2509.25106" TargetMode="External"/><Relationship Id="rId18" Type="http://schemas.openxmlformats.org/officeDocument/2006/relationships/hyperlink" Target="https://arxiv.org/abs/2510.14240" TargetMode="External"/><Relationship Id="rId19" Type="http://schemas.openxmlformats.org/officeDocument/2006/relationships/hyperlink" Target="https://openai.com/index/paperbench/" TargetMode="External"/><Relationship Id="rId20" Type="http://schemas.openxmlformats.org/officeDocument/2006/relationships/hyperlink" Target="https://arxiv.org/abs/2605.19276" TargetMode="External"/><Relationship Id="rId21" Type="http://schemas.openxmlformats.org/officeDocument/2006/relationships/hyperlink" Target="https://evalscope.readthedocs.io/en/refact_readme/get_started/introduction.html" TargetMode="External"/><Relationship Id="rId22" Type="http://schemas.openxmlformats.org/officeDocument/2006/relationships/hyperlink" Target="https://arxiv.org/abs/2607.27056" TargetMode="External"/><Relationship Id="rId23" Type="http://schemas.openxmlformats.org/officeDocument/2006/relationships/hyperlink" Target="https://arxiv.org/abs/2607.20482" TargetMode="External"/><Relationship Id="rId24" Type="http://schemas.openxmlformats.org/officeDocument/2006/relationships/hyperlink" Target="https://arxiv.org/abs/2607.03162" TargetMode="External"/><Relationship Id="rId25" Type="http://schemas.openxmlformats.org/officeDocument/2006/relationships/hyperlink" Target="https://aclanthology.org/2026.acl-long.370/" TargetMode="External"/><Relationship Id="rId26" Type="http://schemas.openxmlformats.org/officeDocument/2006/relationships/hyperlink" Target="https://arxiv.org/abs/2607.15948" TargetMode="External"/><Relationship Id="rId27" Type="http://schemas.openxmlformats.org/officeDocument/2006/relationships/hyperlink" Target="https://arxiv.org/abs/2602.16173" TargetMode="External"/><Relationship Id="rId28" Type="http://schemas.openxmlformats.org/officeDocument/2006/relationships/hyperlink" Target="https://arxiv.org/abs/2607.10526" TargetMode="External"/><Relationship Id="rId29" Type="http://schemas.openxmlformats.org/officeDocument/2006/relationships/hyperlink" Target="https://aclanthology.org/2026.acl-long.1260/" TargetMode="External"/><Relationship Id="rId30" Type="http://schemas.openxmlformats.org/officeDocument/2006/relationships/header" Target="header2.xml"/><Relationship Id="rId31" Type="http://schemas.openxmlformats.org/officeDocument/2006/relationships/footer" Target="footer2.xml"/><Relationship Id="rId32" Type="http://schemas.openxmlformats.org/officeDocument/2006/relationships/image" Target="media/image1.png"/><Relationship Id="rId33" Type="http://schemas.openxmlformats.org/officeDocument/2006/relationships/header" Target="header3.xml"/><Relationship Id="rId34" Type="http://schemas.openxmlformats.org/officeDocument/2006/relationships/footer" Target="footer3.xml"/><Relationship Id="rId35" Type="http://schemas.openxmlformats.org/officeDocument/2006/relationships/hyperlink" Target="https://aclanthology.org/2026.acl-long.2079/" TargetMode="External"/><Relationship Id="rId36" Type="http://schemas.openxmlformats.org/officeDocument/2006/relationships/hyperlink" Target="https://arxiv.org/abs/2605.3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