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v0.16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对照检验用户特异价值，同时对事实性、共同质量和隐私设置不可补偿门槛。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现有工作已经分别评价 Deep Research 通用质量、分层用户理解、行为历史利用、单域个性化效用、持久状态安全和时间干预，但尚未在广义 Deep Research 的多类最终交付物上统一检验“该结果是否对这个用户具有特异价值”。本项目拟构建 DeepAlign-Bench，用于评估长程智能体能否从不同渠道获得与任务相关的用户信息，在执行过程中保持、使用和更新这些信息，并交付必要且正确的用户特异结果。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OpenCompass 和 EvalScope 提供模型适配、任务调度、评估与报告框架，但不定义个性化构念。Deep Research Bench、LiveResearchBench、PaperBench 等主要回答任务是否完成、事实与引用是否可靠、报告是否完整。这一层建立了通用能力底线，但评价函数通常不随目标用户改变。</w:t>
      </w:r>
    </w:p>
    <w:p>
      <w:r>
        <w:rPr>
          <w:rFonts w:ascii="Calibri" w:hAnsi="Calibri" w:eastAsia="PingFang SC"/>
        </w:rPr>
        <w:t>2026 年 7 月的工作已经向个性化内部推进：Setoka 从语义事实到人格特质测四层用户理解；PersonaTrail 与 APeB 分别从浏览轨迹和商品行为历史测偏好、情景记忆与意图利用；TARS 在代码理解中报告个性化解释对时间、认知负担和主观适配的影响；PASB 让 agent 自主写入持久状态并发现 commit 后下游失败显著增加；Qian 等提出显式时间事件、跨事件持久状态、跨维度影响和用户条件化差异四项要求；SARSI 则给出受治理的 personal-agent 系统架构。这些工作说明“用户理解、历史利用、时间变化和持久风险无人评测”已经是错误表述。</w:t>
      </w:r>
    </w:p>
    <w:p>
      <w:r>
        <w:rPr>
          <w:rFonts w:ascii="Calibri" w:hAnsi="Calibri" w:eastAsia="PingFang SC"/>
        </w:rPr>
        <w:t>PDR-Bench 最接近本项目：它把真实 persona 引入 Deep Research，但主要比较 task-only、context 和 persona 条件平均分。现有文献仍缺少同一协议中的四个连接：</w:t>
      </w:r>
      <w:r>
        <w:rPr>
          <w:rFonts w:ascii="Calibri" w:hAnsi="Calibri" w:eastAsia="PingFang SC"/>
          <w:b/>
        </w:rPr>
        <w:t>异构用户信号 → 广义 DR 执行 → 用户特异最终交付物 → 反事实且经校准的评分</w:t>
      </w:r>
      <w:r>
        <w:rPr>
          <w:rFonts w:ascii="Calibri" w:hAnsi="Calibri" w:eastAsia="PingFang SC"/>
        </w:rPr>
        <w:t>。因此尚难排除输入更长、输出更长、persona 关键词、文风偏好或额外任务信息等替代解释。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personalization、history、persistent state 或 temporal intervention；它解决的是这些方向的交叉测量缺口：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如何证明交付物差异来自用户需求，而不是篇幅、格式或关键词；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可辩护的主张是：在广义 Deep Research 的多类最终交付物上，将异构用户信号、matched/swapped 用户交换、预冻结 must-change/must-hold/must-not 真值、长程干预和独立 JudgeBench 放进同一可审计协议。若 matched/swapped 人评不稳定，或效应可由长度、风格和共同质量解释，论文将收缩为 outcome-centered evaluation study。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交付物，且该差异不能由输出长度或通用质量解释。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语义内容相同时，非结构化历史的适配优势低于结构化 persona。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152" w:bottom="1152" w:left="1152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是压力测试宿主，不是 persona 类别。先构造两个用户都与任务合理匹配的 clean family，冻结 must-change/must-hold 和 matched/swapped 真值；再固定目标用户、任务、证据和预算，只改变可见 signal bundle、上下文位置、交接摘要或更新时间。Persona–task 匹配只是基线的前置门。</w:t>
      </w:r>
    </w:p>
    <w:p>
      <w:r>
        <w:rPr>
          <w:rFonts w:ascii="Calibri" w:hAnsi="Calibri" w:eastAsia="PingFang SC"/>
        </w:rPr>
        <w:t>所有 anchor 运行 clean、persona swap 和 irrelevant-signal；冲突/过期、dilution、handoff 和动态更新按预注册适用性分配。Re-anchor 是恢复干预，在固定子集上无论基线是否失败都成对运行，避免选择偏差。报告 ΔPF/invariance、冲突解析、retention/AUC、handoff loss、update correctness、recovery gain 及 TQ/事实/隐私副作用；不同轨道和预算不混榜。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must-hold，再处理分歧。Rubric 必须通过 matched/swapped 区分力、无关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 matched/swapped 任务族识别用户特异价值的反事实评估方法；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个性化效应在控制输出长度、共同质量和评委偏差后仍存在；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运行位置交换、长度匹配、关键词诱饵和弃权测试；低置信样本转人评。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[1] OpenCompass Team. </w:t>
      </w:r>
      <w:r>
        <w:rPr>
          <w:rFonts w:ascii="Calibri" w:hAnsi="Calibri" w:eastAsia="PingFang SC"/>
          <w:i/>
          <w:sz w:val="17"/>
        </w:rPr>
        <w:t>OpenCompass: A Universal Evaluation Platform for Large Language Models</w:t>
      </w:r>
      <w:r>
        <w:rPr>
          <w:rFonts w:ascii="Calibri" w:hAnsi="Calibri" w:eastAsia="PingFang SC"/>
          <w:sz w:val="17"/>
        </w:rPr>
        <w:t>.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[2] EvalScope Documentation. </w:t>
      </w:r>
      <w:r>
        <w:rPr>
          <w:rFonts w:ascii="Calibri" w:hAnsi="Calibri" w:eastAsia="PingFang SC"/>
          <w:i/>
          <w:sz w:val="17"/>
        </w:rPr>
        <w:t>Getting Started and Evaluation Backends</w:t>
      </w:r>
      <w:r>
        <w:rPr>
          <w:rFonts w:ascii="Calibri" w:hAnsi="Calibri" w:eastAsia="PingFang SC"/>
          <w:sz w:val="17"/>
        </w:rPr>
        <w:t>.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[3] Zhang et al. </w:t>
      </w:r>
      <w:r>
        <w:rPr>
          <w:rFonts w:ascii="Calibri" w:hAnsi="Calibri" w:eastAsia="PingFang SC"/>
          <w:i/>
          <w:sz w:val="17"/>
        </w:rPr>
        <w:t>Agent-SafetyBench: Evaluating the Safety of LLM Agents</w:t>
      </w:r>
      <w:r>
        <w:rPr>
          <w:rFonts w:ascii="Calibri" w:hAnsi="Calibri" w:eastAsia="PingFang SC"/>
          <w:sz w:val="17"/>
        </w:rPr>
        <w:t>. arXiv:2412.14470,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[4] </w:t>
      </w:r>
      <w:r>
        <w:rPr>
          <w:rFonts w:ascii="Calibri" w:hAnsi="Calibri" w:eastAsia="PingFang SC"/>
          <w:i/>
          <w:sz w:val="17"/>
        </w:rPr>
        <w:t>Towards Personalized Deep Research: Benchmarks and Evaluations</w:t>
      </w:r>
      <w:r>
        <w:rPr>
          <w:rFonts w:ascii="Calibri" w:hAnsi="Calibri" w:eastAsia="PingFang SC"/>
          <w:sz w:val="17"/>
        </w:rPr>
        <w:t>. arXiv:2509.25106,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[5] Wang et al. </w:t>
      </w:r>
      <w:r>
        <w:rPr>
          <w:rFonts w:ascii="Calibri" w:hAnsi="Calibri" w:eastAsia="PingFang SC"/>
          <w:i/>
          <w:sz w:val="17"/>
        </w:rPr>
        <w:t>LiveResearchBench: A Live Benchmark for User-Centric Deep Research in the Wild</w:t>
      </w:r>
      <w:r>
        <w:rPr>
          <w:rFonts w:ascii="Calibri" w:hAnsi="Calibri" w:eastAsia="PingFang SC"/>
          <w:sz w:val="17"/>
        </w:rPr>
        <w:t>. arXiv:2510.14240,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[6] Sharma et al. </w:t>
      </w:r>
      <w:r>
        <w:rPr>
          <w:rFonts w:ascii="Calibri" w:hAnsi="Calibri" w:eastAsia="PingFang SC"/>
          <w:i/>
          <w:sz w:val="17"/>
        </w:rPr>
        <w:t>ResearchRubrics: A Benchmark of Prompts and Rubrics for Evaluating Deep Research Agents</w:t>
      </w:r>
      <w:r>
        <w:rPr>
          <w:rFonts w:ascii="Calibri" w:hAnsi="Calibri" w:eastAsia="PingFang SC"/>
          <w:sz w:val="17"/>
        </w:rPr>
        <w:t>. arXiv:2511.07685,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[7] Starace et al. </w:t>
      </w:r>
      <w:r>
        <w:rPr>
          <w:rFonts w:ascii="Calibri" w:hAnsi="Calibri" w:eastAsia="PingFang SC"/>
          <w:i/>
          <w:sz w:val="17"/>
        </w:rPr>
        <w:t>PaperBench: Evaluating AI's Ability to Replicate AI Research</w:t>
      </w:r>
      <w:r>
        <w:rPr>
          <w:rFonts w:ascii="Calibri" w:hAnsi="Calibri" w:eastAsia="PingFang SC"/>
          <w:sz w:val="17"/>
        </w:rPr>
        <w:t>. OpenAI,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[8] Yoran et al. </w:t>
      </w:r>
      <w:r>
        <w:rPr>
          <w:rFonts w:ascii="Calibri" w:hAnsi="Calibri" w:eastAsia="PingFang SC"/>
          <w:i/>
          <w:sz w:val="17"/>
        </w:rPr>
        <w:t>AssistantBench: Can Web Agents Solve Realistic and Time-Consuming Tasks?</w:t>
      </w:r>
      <w:r>
        <w:rPr>
          <w:rFonts w:ascii="Calibri" w:hAnsi="Calibri" w:eastAsia="PingFang SC"/>
          <w:sz w:val="17"/>
        </w:rPr>
        <w:t xml:space="preserve"> arXiv:2407.15711,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[9] Java et al. </w:t>
      </w:r>
      <w:r>
        <w:rPr>
          <w:rFonts w:ascii="Calibri" w:hAnsi="Calibri" w:eastAsia="PingFang SC"/>
          <w:i/>
          <w:sz w:val="17"/>
        </w:rPr>
        <w:t>Characterizing Deep Research: A Benchmark and Formal Definition</w:t>
      </w:r>
      <w:r>
        <w:rPr>
          <w:rFonts w:ascii="Calibri" w:hAnsi="Calibri" w:eastAsia="PingFang SC"/>
          <w:sz w:val="17"/>
        </w:rPr>
        <w:t>. arXiv:2508.04183,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[10] Abaskohi et al. </w:t>
      </w:r>
      <w:r>
        <w:rPr>
          <w:rFonts w:ascii="Calibri" w:hAnsi="Calibri" w:eastAsia="PingFang SC"/>
          <w:i/>
          <w:sz w:val="17"/>
        </w:rPr>
        <w:t>DRBench: A Realistic Benchmark for Enterprise Deep Research</w:t>
      </w:r>
      <w:r>
        <w:rPr>
          <w:rFonts w:ascii="Calibri" w:hAnsi="Calibri" w:eastAsia="PingFang SC"/>
          <w:sz w:val="17"/>
        </w:rPr>
        <w:t>. arXiv:2510.00172, 2025.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[11] Liang et al. </w:t>
      </w:r>
      <w:r>
        <w:rPr>
          <w:rFonts w:ascii="Calibri" w:hAnsi="Calibri" w:eastAsia="PingFang SC"/>
          <w:i/>
          <w:sz w:val="17"/>
        </w:rPr>
        <w:t>Holistic Evaluation of Language Models</w:t>
      </w:r>
      <w:r>
        <w:rPr>
          <w:rFonts w:ascii="Calibri" w:hAnsi="Calibri" w:eastAsia="PingFang SC"/>
          <w:sz w:val="17"/>
        </w:rPr>
        <w:t>. TMLR, 2023.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[12] Ribeiro et al. </w:t>
      </w:r>
      <w:r>
        <w:rPr>
          <w:rFonts w:ascii="Calibri" w:hAnsi="Calibri" w:eastAsia="PingFang SC"/>
          <w:i/>
          <w:sz w:val="17"/>
        </w:rPr>
        <w:t>Beyond Accuracy: Behavioral Testing of NLP Models with CheckList</w:t>
      </w:r>
      <w:r>
        <w:rPr>
          <w:rFonts w:ascii="Calibri" w:hAnsi="Calibri" w:eastAsia="PingFang SC"/>
          <w:sz w:val="17"/>
        </w:rPr>
        <w:t>. ACL, 2020.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[13] Reuel et al. </w:t>
      </w:r>
      <w:r>
        <w:rPr>
          <w:rFonts w:ascii="Calibri" w:hAnsi="Calibri" w:eastAsia="PingFang SC"/>
          <w:i/>
          <w:sz w:val="17"/>
        </w:rPr>
        <w:t>BetterBench: Assessing AI Benchmarks, Uncovering Issues, and Establishing Best Practices</w:t>
      </w:r>
      <w:r>
        <w:rPr>
          <w:rFonts w:ascii="Calibri" w:hAnsi="Calibri" w:eastAsia="PingFang SC"/>
          <w:sz w:val="17"/>
        </w:rPr>
        <w:t>. arXiv:2411.12990,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[14] Zhu et al. </w:t>
      </w:r>
      <w:r>
        <w:rPr>
          <w:rFonts w:ascii="Calibri" w:hAnsi="Calibri" w:eastAsia="PingFang SC"/>
          <w:i/>
          <w:sz w:val="17"/>
        </w:rPr>
        <w:t>JudgeLM: Fine-tuned Large Language Models are Scalable Judges</w:t>
      </w:r>
      <w:r>
        <w:rPr>
          <w:rFonts w:ascii="Calibri" w:hAnsi="Calibri" w:eastAsia="PingFang SC"/>
          <w:sz w:val="17"/>
        </w:rPr>
        <w:t>. arXiv:2310.17631, 2023.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[15] Huang et al. </w:t>
      </w:r>
      <w:r>
        <w:rPr>
          <w:rFonts w:ascii="Calibri" w:hAnsi="Calibri" w:eastAsia="PingFang SC"/>
          <w:i/>
          <w:sz w:val="17"/>
        </w:rPr>
        <w:t>An Empirical Study of LLM-as-a-Judge for LLM Evaluation</w:t>
      </w:r>
      <w:r>
        <w:rPr>
          <w:rFonts w:ascii="Calibri" w:hAnsi="Calibri" w:eastAsia="PingFang SC"/>
          <w:sz w:val="17"/>
        </w:rPr>
        <w:t>. arXiv:2403.02839, 2024.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[16] Zeng et al. </w:t>
      </w:r>
      <w:r>
        <w:rPr>
          <w:rFonts w:ascii="Calibri" w:hAnsi="Calibri" w:eastAsia="PingFang SC"/>
          <w:i/>
          <w:sz w:val="17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7"/>
        </w:rPr>
        <w:t>. arXiv:2607.27056,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[17] Qian et al. </w:t>
      </w:r>
      <w:r>
        <w:rPr>
          <w:rFonts w:ascii="Calibri" w:hAnsi="Calibri" w:eastAsia="PingFang SC"/>
          <w:i/>
          <w:sz w:val="17"/>
        </w:rPr>
        <w:t>Toward User-Conditioned Evaluation of Personal LLM Agents under Temporal Interventions</w:t>
      </w:r>
      <w:r>
        <w:rPr>
          <w:rFonts w:ascii="Calibri" w:hAnsi="Calibri" w:eastAsia="PingFang SC"/>
          <w:sz w:val="17"/>
        </w:rPr>
        <w:t>. arXiv:2607.21635,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[18] Yang et al. </w:t>
      </w:r>
      <w:r>
        <w:rPr>
          <w:rFonts w:ascii="Calibri" w:hAnsi="Calibri" w:eastAsia="PingFang SC"/>
          <w:i/>
          <w:sz w:val="17"/>
        </w:rPr>
        <w:t>PersonaTrail: Benchmarking Personalized Web Agents through Browsing Trails</w:t>
      </w:r>
      <w:r>
        <w:rPr>
          <w:rFonts w:ascii="Calibri" w:hAnsi="Calibri" w:eastAsia="PingFang SC"/>
          <w:sz w:val="17"/>
        </w:rPr>
        <w:t>. arXiv:2607.20482,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[19] Todisco et al. </w:t>
      </w:r>
      <w:r>
        <w:rPr>
          <w:rFonts w:ascii="Calibri" w:hAnsi="Calibri" w:eastAsia="PingFang SC"/>
          <w:i/>
          <w:sz w:val="17"/>
        </w:rPr>
        <w:t>TARS: A Theory-of-Mind Agent for Personalized In-IDE Code Comprehension</w:t>
      </w:r>
      <w:r>
        <w:rPr>
          <w:rFonts w:ascii="Calibri" w:hAnsi="Calibri" w:eastAsia="PingFang SC"/>
          <w:sz w:val="17"/>
        </w:rPr>
        <w:t>. arXiv:2607.15948,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[20] Yang. </w:t>
      </w:r>
      <w:r>
        <w:rPr>
          <w:rFonts w:ascii="Calibri" w:hAnsi="Calibri" w:eastAsia="PingFang SC"/>
          <w:i/>
          <w:sz w:val="17"/>
        </w:rPr>
        <w:t>Self-Aware Recursively Self-Improving Agents for Personal Singularity</w:t>
      </w:r>
      <w:r>
        <w:rPr>
          <w:rFonts w:ascii="Calibri" w:hAnsi="Calibri" w:eastAsia="PingFang SC"/>
          <w:sz w:val="17"/>
        </w:rPr>
        <w:t>. arXiv:2607.12254,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[21] Mao et al. </w:t>
      </w:r>
      <w:r>
        <w:rPr>
          <w:rFonts w:ascii="Calibri" w:hAnsi="Calibri" w:eastAsia="PingFang SC"/>
          <w:i/>
          <w:sz w:val="17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7"/>
        </w:rPr>
        <w:t>. arXiv:2607.10526, 2026.</w:t>
      </w:r>
    </w:p>
    <w:p>
      <w:pPr>
        <w:spacing w:after="20" w:line="240" w:lineRule="auto"/>
        <w:ind w:left="360" w:hanging="360"/>
      </w:pPr>
      <w:r>
        <w:rPr>
          <w:rFonts w:ascii="Calibri" w:hAnsi="Calibri" w:eastAsia="PingFang SC"/>
          <w:sz w:val="17"/>
        </w:rPr>
        <w:t xml:space="preserve">[22] Yang et al. </w:t>
      </w:r>
      <w:r>
        <w:rPr>
          <w:rFonts w:ascii="Calibri" w:hAnsi="Calibri" w:eastAsia="PingFang SC"/>
          <w:i/>
          <w:sz w:val="17"/>
        </w:rPr>
        <w:t>APeB: Benchmarking Personalization Ability of Large Language Model Agents</w:t>
      </w:r>
      <w:r>
        <w:rPr>
          <w:rFonts w:ascii="Calibri" w:hAnsi="Calibri" w:eastAsia="PingFang SC"/>
          <w:sz w:val="17"/>
        </w:rPr>
        <w:t>. arXiv:2607.03162,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152" w:right="1152" w:bottom="1152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