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v0.59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一份报告、代码 patch 或数据分析“对这个用户看起来很好”，并不能证明系统真的会随着目标用户变化而改变最终交付。DeepAlign 固定 task、evidence/repo/data、tools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真人真值、CDM、受约束 rubric 与 D-JQS 形成可审计的分层测量链。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 xml:space="preserve">Credamo 分三轮：Wave A 按 task-relevant 背景路由 10–15 张 cards，逐卡检查现实相关、类似经验和安全可回答性，再让用户选 3–5 个候选；Wave B 从中深采 1 个主任务、最多 1 个次任务，先保存开放回答，再显示结构化 schema；Wave C 把 LLM 候选事实和原话 source span 一起交给本人逐条批准、修改、删除或标不确定。人口学不参与路由；若真实相关任务少于 3 个，不强迫凑数。fact 记录 spontaneous/prompted/N/A/declined、置信度、可接受替代、时间戳与三层权限。每个 family 配对两位都合理的用户，并公开 offered→eligible→selected→assigned→confirmed→paired→qualified 漏斗；pair 同时含 contrast、near-neighbor 和 neutral/invariance。运行前先冻结关系真值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：</w:t>
      </w:r>
    </w:p>
    <w:p>
      <w:r>
        <w:rPr>
          <w:rFonts w:ascii="Calibri" w:hAnsi="Calibri" w:eastAsia="PingFang SC"/>
        </w:rPr>
        <w:t>人民币 3,000 元 all-in working ceiling 下，12-family pilot 每题先取 2 个 confirmed ledger，再为每个 vertical 的 2 个 anchor 补第 3 人，目标 30 个 user–task records；它只验证 instrument、pairability、CDM 和成本，不做 agent 排名。正式招募须先完成伦理/IRB 与 Credamo 跨轮、预填、配额和 LLM 数据路径核验。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 / directional difference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 / acceptable equivalence</w:t>
      </w:r>
      <w:r>
        <w:rPr>
          <w:rFonts w:ascii="Calibri" w:hAnsi="Calibri" w:eastAsia="PingFang SC"/>
        </w:rPr>
        <w:t>：共同事实不变，或多个方案都可接受；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 / forbidden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 / branch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每个 node 必须带 user/task/permission provenance、authority、direction、observable、alternatives 与 dependency。用户确认自身目标和取舍；两名标注员审计来源/可观察性/冗余/刻板化；专家只判事实、可行性和安全；LLM 仅高召回提候选，无 authority。construction freeze 在 reference artifact 前，evaluation freeze 在 target output 前；freeze 只防 post-hoc，不证明真值正确。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 xml:space="preserve">v0.58 的交互环境已可运行：统一 </w:t>
      </w:r>
      <w:r>
        <w:rPr>
          <w:rFonts w:ascii="Courier New" w:hAnsi="Courier New" w:eastAsia="PingFang SC"/>
          <w:color w:val="6A3E00"/>
          <w:sz w:val="20"/>
        </w:rPr>
        <w:t>reset()</w:t>
      </w:r>
      <w:r>
        <w:rPr>
          <w:rFonts w:ascii="Calibri" w:hAnsi="Calibri" w:eastAsia="PingFang SC"/>
        </w:rPr>
        <w:t xml:space="preserve"> / </w:t>
      </w:r>
      <w:r>
        <w:rPr>
          <w:rFonts w:ascii="Courier New" w:hAnsi="Courier New" w:eastAsia="PingFang SC"/>
          <w:color w:val="6A3E00"/>
          <w:sz w:val="20"/>
        </w:rPr>
        <w:t>step()</w:t>
      </w:r>
      <w:r>
        <w:rPr>
          <w:rFonts w:ascii="Calibri" w:hAnsi="Calibri" w:eastAsia="PingFang SC"/>
        </w:rPr>
        <w:t xml:space="preserve">，并可用 </w:t>
      </w:r>
      <w:r>
        <w:rPr>
          <w:rFonts w:ascii="Courier New" w:hAnsi="Courier New" w:eastAsia="PingFang SC"/>
          <w:color w:val="6A3E00"/>
          <w:sz w:val="20"/>
        </w:rPr>
        <w:t>run_episode</w:t>
      </w:r>
      <w:r>
        <w:rPr>
          <w:rFonts w:ascii="Calibri" w:hAnsi="Calibri" w:eastAsia="PingFang SC"/>
        </w:rPr>
        <w:t xml:space="preserve"> 包装任意 callable/</w:t>
      </w:r>
      <w:r>
        <w:rPr>
          <w:rFonts w:ascii="Courier New" w:hAnsi="Courier New" w:eastAsia="PingFang SC"/>
          <w:color w:val="6A3E00"/>
          <w:sz w:val="20"/>
        </w:rPr>
        <w:t>act()</w:t>
      </w:r>
      <w:r>
        <w:rPr>
          <w:rFonts w:ascii="Calibri" w:hAnsi="Calibri" w:eastAsia="PingFang SC"/>
        </w:rPr>
        <w:t xml:space="preserve"> agent。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模式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Agent 初始看到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Simulator 看到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Reveal policy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A Oracle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 + 完整 persona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完整 persona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绕过；reset 记全披露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B Naive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完整 persona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绕过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 Interactive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本轮获准属性值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强制执行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Interactive 的 classifier 只看 value-free descriptor；日志逐步保存 matched、denied、newly/cumulative revealed 和 still-hidden。默认 rule backend 只做 smoke；正式 B/C 固定同一 LLM backend 并做人类轨迹校准。B/C 差异同时包含信息访问与披露行为，不能解释为纯 agent 能力；Oracle 也只是信息上限，不保证 agent 会用对。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r>
        <w:rPr>
          <w:rFonts w:ascii="Calibri" w:hAnsi="Calibri" w:eastAsia="PingFang SC"/>
        </w:rPr>
        <w:t>v0.59 已建立 180 个候选 seed（72 DR / 54 Software / 54 Data），预选 60 个 provisional family（24 / 18 / 18，即 40/30/30）。来源为 39 benchmark-derived、12 adapted、9 new；10 个 PDR-derived shell 仅保留来源/主题 continuity。每题只有一个主要交付物容器；24 个 DR 全部是 program/resource discovery、evidence landscape/map、literature synthesis、dataset/语料发现、prior art、conflict audit、temporal diff 或 entity enumeration，不再要求 recommendation/planning。60 个只是等待许可、环境、双人审查、contract 和 pilot 硬门的 sampling frame，不是 runnable gold。主论文先做 12 个端到端 family（5 DR / 3 Software / 4 Data）。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D-JQS 反例：general-good、over-personalized、mention-only、irrelevant persona keyword。必须区分报告是否只是提到约束，还是它真的改变了最终选择和行动方案。</w:t>
      </w:r>
    </w:p>
    <w:p>
      <w:r>
        <w:rPr>
          <w:rFonts w:ascii="Calibri" w:hAnsi="Calibri" w:eastAsia="PingFang SC"/>
        </w:rPr>
        <w:t>Rubric 只能从冻结 CDM 编译；leaf 绑定 source node、evidence、severity、dependency group 与 scorer route，先 node 内聚合。评分走 validated deterministic/evidence verifier → slice-qualified judge → 盲化人评。D-JQS 混合明确违规、单一受控编辑和自然真人 artifact；calibration/hidden qualification 按 family、user、agent、source、edit lineage、time 隔离。AB/BA 之外单独测试长度、style、格式、关键词、引用数和语言；关键 slice 不过门就人工接管。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 与受约束 rubric 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 与 nuisance controls；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7.1 最强审稿攻击与必须实验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Pair cherry-pick / self-selection：</w:t>
      </w:r>
      <w:r>
        <w:rPr>
          <w:rFonts w:ascii="Calibri" w:hAnsi="Calibri" w:eastAsia="PingFang SC"/>
        </w:rPr>
        <w:t>公开完整 task/pair funnel，并分 contrast、near-neighbor、neutral 报告。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自述不稳定 / demand characteristics：</w:t>
      </w:r>
      <w:r>
        <w:rPr>
          <w:rFonts w:ascii="Calibri" w:hAnsi="Calibri" w:eastAsia="PingFang SC"/>
        </w:rPr>
        <w:t>允许 indifference/alternatives，做 test–retest；后期不展示 rubric、随机盲化并与前期分时。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CDM 不完整 / LLM 仍定 gold：</w:t>
      </w:r>
      <w:r>
        <w:rPr>
          <w:rFonts w:ascii="Calibri" w:hAnsi="Calibri" w:eastAsia="PingFang SC"/>
        </w:rPr>
        <w:t>no-provenance fail closed；只声称 protocol-bounded saturation；locked test 不回改。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leaf double count / checker 假可靠：</w:t>
      </w:r>
      <w:r>
        <w:rPr>
          <w:rFonts w:ascii="Calibri" w:hAnsi="Calibri" w:eastAsia="PingFang SC"/>
        </w:rPr>
        <w:t>node-first aggregation；mutation 与 false accept/reject 审计；统计单位是 family/user cluster。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D-JQS 自认证 / shared model bias：</w:t>
      </w:r>
      <w:r>
        <w:rPr>
          <w:rFonts w:ascii="Calibri" w:hAnsi="Calibri" w:eastAsia="PingFang SC"/>
        </w:rPr>
        <w:t>三类 gold、hidden qualification、slice-specific pass；披露 compiler/judge/agent 家族重叠，panel 不作为独立性证明。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PDR++ / compiler 非新：</w:t>
      </w:r>
      <w:r>
        <w:rPr>
          <w:rFonts w:ascii="Calibri" w:hAnsi="Calibri" w:eastAsia="PingFang SC"/>
        </w:rPr>
        <w:t>消融 PDR-style absolute rubric、独立 A/B rubric、CDM 对称 rubric、single judge/hybrid。必须看到系统/family 重分类，或 CDM 对盲化真人选择的增量预测；否则降级为 measurement extension。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 vertical 不可比：</w:t>
      </w:r>
      <w:r>
        <w:rPr>
          <w:rFonts w:ascii="Calibri" w:hAnsi="Calibri" w:eastAsia="PingFang SC"/>
        </w:rPr>
        <w:t>不混合 raw score；分别报告 verifier/judge/human 覆盖与 vertical profile。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成本与隐私：</w:t>
      </w:r>
      <w:r>
        <w:rPr>
          <w:rFonts w:ascii="Calibri" w:hAnsi="Calibri" w:eastAsia="PingFang SC"/>
        </w:rPr>
        <w:t>先做 12 family；raw ledger 不公开，执行 consent/minimization/revocation/retention/access control。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官网当前日期为摘要 9 月 18 日 AOE、全文 9 月 25 日 AOE；从 8 月 14 日约剩 35/42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r>
        <w:rPr>
          <w:rFonts w:ascii="Calibri" w:hAnsi="Calibri" w:eastAsia="PingFang SC"/>
        </w:rPr>
        <w:t>执行顺序：先在三个 vertical 各完成一个 environment slice，再将主论文扩到 12 个 family（5/3/4）；优先减少 agent 数、动态 anchor 和真人效用子集，不删掉整个 software 或 data vertical。60-family 全量环境绑定是 benchmark release 路线，不是两个月已完成承诺。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12-family 主论文中真人 decision trial 应放在哪几个反事实分离最强的 family；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