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v0.60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阅读方式：先看主图；前半解释 Ask / Infer 和 δ，后半解释 rubric、CFA、排名反转与停止门。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测用户离线时有证据的推断；最终交付物另过非补偿门。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可以复用，但只能做 source shell 和 bridge，不能直接当新 gold。</w:t>
      </w:r>
    </w:p>
    <w:p>
      <w:r>
        <w:rPr>
          <w:rFonts w:ascii="Calibri" w:hAnsi="Calibri" w:eastAsia="PingFang SC"/>
        </w:rPr>
        <w:t>可以复用 PDR 的 task 主题和 structured persona，在同一批 Deep Research agent 上跑 full-persona 对照。不能把完整 persona 塞进 Ask 主条件，因为答案已经泄漏。也不能把 PDR 的 simulated context 叫真实 history。每个 PDR-derived case 仍要重新确认 task-specific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、history evidence、matched/swapped 和真人 rubric。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 3 个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strata；</w:t>
      </w:r>
    </w:p>
    <w:p>
      <w:pPr>
        <w:pStyle w:val="ListBullet"/>
      </w:pPr>
      <w:r>
        <w:rPr>
          <w:rFonts w:ascii="Calibri" w:hAnsi="Calibri" w:eastAsia="PingFang SC"/>
        </w:rPr>
        <w:t>4 个 agent；</w:t>
      </w:r>
    </w:p>
    <w:p>
      <w:pPr>
        <w:pStyle w:val="ListBullet"/>
      </w:pPr>
      <w:r>
        <w:rPr>
          <w:rFonts w:ascii="Calibri" w:hAnsi="Calibri" w:eastAsia="PingFang SC"/>
        </w:rPr>
        <w:t>Ask 的 No-Ask / Ask-Enabled / Oracle 三条件；</w:t>
      </w:r>
    </w:p>
    <w:p>
      <w:pPr>
        <w:pStyle w:val="ListBullet"/>
      </w:pPr>
      <w:r>
        <w:rPr>
          <w:rFonts w:ascii="Calibri" w:hAnsi="Calibri" w:eastAsia="PingFang SC"/>
        </w:rPr>
        <w:t>约 216 个 episode；</w:t>
      </w:r>
    </w:p>
    <w:p>
      <w:pPr>
        <w:pStyle w:val="ListBullet"/>
      </w:pPr>
      <w:r>
        <w:rPr>
          <w:rFonts w:ascii="Calibri" w:hAnsi="Calibri" w:eastAsia="PingFang SC"/>
        </w:rPr>
        <w:t>其中 2 个 Deep Research 任务追加 Infer/PDR bridge。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通过后才考虑 24 个独立基础任务（每个 vertical 8 个）；Infer/PDR bridge 保留 8–12 个 DR。样本量由 pilot 的 family-level 方差和最小实际重要差异决定。多跑 seed 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benchmark。v0.60 的正确状态是：一个可证伪、可做 novelty-kill pilot 的主线。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Liang et al.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OPPO-PersonalAI. </w:t>
      </w:r>
      <w:r>
        <w:rPr>
          <w:rFonts w:ascii="Calibri" w:hAnsi="Calibri" w:eastAsia="PingFang SC"/>
          <w:i/>
          <w:sz w:val="16"/>
        </w:rPr>
        <w:t>PersonalizedDeepResearchBench official repository</w:t>
      </w:r>
      <w:r>
        <w:rPr>
          <w:rFonts w:ascii="Calibri" w:hAnsi="Calibri" w:eastAsia="PingFang SC"/>
          <w:sz w:val="16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Shao et al. </w:t>
      </w:r>
      <w:r>
        <w:rPr>
          <w:rFonts w:ascii="Calibri" w:hAnsi="Calibri" w:eastAsia="PingFang SC"/>
          <w:i/>
          <w:sz w:val="16"/>
        </w:rPr>
        <w:t>MyScholarQA: Personalized Scholarly Question Answering</w:t>
      </w:r>
      <w:r>
        <w:rPr>
          <w:rFonts w:ascii="Calibri" w:hAnsi="Calibri" w:eastAsia="PingFang SC"/>
          <w:sz w:val="16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Yoon and Lee. </w:t>
      </w:r>
      <w:r>
        <w:rPr>
          <w:rFonts w:ascii="Calibri" w:hAnsi="Calibri" w:eastAsia="PingFang SC"/>
          <w:i/>
          <w:sz w:val="16"/>
        </w:rPr>
        <w:t>Personalized Deep Research Query Refinement with Graph-Scaffolded Evidence Grounding</w:t>
      </w:r>
      <w:r>
        <w:rPr>
          <w:rFonts w:ascii="Calibri" w:hAnsi="Calibri" w:eastAsia="PingFang SC"/>
          <w:sz w:val="16"/>
        </w:rPr>
        <w:t xml:space="preserve">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Feng et al. </w:t>
      </w:r>
      <w:r>
        <w:rPr>
          <w:rFonts w:ascii="Calibri" w:hAnsi="Calibri" w:eastAsia="PingFang SC"/>
          <w:i/>
          <w:sz w:val="16"/>
        </w:rPr>
        <w:t>IDRBench: Interactive Deep Research Benchmark</w:t>
      </w:r>
      <w:r>
        <w:rPr>
          <w:rFonts w:ascii="Calibri" w:hAnsi="Calibri" w:eastAsia="PingFang SC"/>
          <w:sz w:val="16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clanthology.org/2026.acl-long.723/" TargetMode="External"/><Relationship Id="rId19" Type="http://schemas.openxmlformats.org/officeDocument/2006/relationships/hyperlink" Target="https://aclanthology.org/2026.acl-long.2079/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