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Task-Specific Personalization under User Availability and History Evidence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v0.60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Final Utilization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用户在线时问 high-δ preference；用户离线时只从 history evidence 推断；PDR 排名能否外推是待检验问题。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用户经常不给完整 specification。用户在线时，agent 应以少量问题获取真正改变交付物的偏好；用户离线时，agent 只能从授权 history 推断，并对没有证据的偏好保持克制。PDR-Bench 已评价 task + full persona 条件下的 personalized Deep Research；G-STEER、IDRBench、IntentRL 和 DiscoBench 已覆盖 clarification、interaction cost 与 query refinement。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4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5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因此本项目不以“首次提问”作为贡献，而评价 agent 是否把问题预算放在会改变最终交付物的 task-specific preference 上，并检验 full-persona 排名能否代表 Ask 与 Infer 能力。</w:t>
      </w:r>
    </w:p>
    <w:p>
      <w:r>
        <w:rPr>
          <w:rFonts w:ascii="Calibri" w:hAnsi="Calibri" w:eastAsia="PingFang SC"/>
        </w:rPr>
        <w:t xml:space="preserve">Ask 轨覆盖 Research、Coding 和 Data Analysis；Infer 轨只做 Deep Research。每个基础任务固定环境、工具、预算和一个主要交付物，并构造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的用户差异。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在运行前由用户、专家和两名独立验证者按 deliverable impact 冻结。过程层评价 High-δ Recall、Question Precision、Low/Zero-δ Question Rate、停止错误和 burden；最终层用 matched/swapped 2×2 矩阵、CFA、绝对合格、相对 No-Ask/Task-Only 增益、共同质量 no-harm 和 boundary no-violation 分栏评价。CFA 不承担提问校准，也不与其他维度合成总分。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操纵进入 Ask / Infer 双轨；过程指标与跨用户 final-deliverable 评价不可互相补偿。</w:t>
      </w:r>
    </w:p>
    <w:p>
      <w:pPr>
        <w:sectPr>
          <w:headerReference w:type="default" r:id="rId16"/>
          <w:footerReference w:type="default" r:id="rId17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核心问题与主张边界</w:t>
      </w:r>
    </w:p>
    <w:p>
      <w:r>
        <w:rPr>
          <w:rFonts w:ascii="Calibri" w:hAnsi="Calibri" w:eastAsia="PingFang SC"/>
          <w:b/>
        </w:rPr>
        <w:t>RQ1 Ask。</w:t>
      </w:r>
      <w:r>
        <w:rPr>
          <w:rFonts w:ascii="Calibri" w:hAnsi="Calibri" w:eastAsia="PingFang SC"/>
        </w:rPr>
        <w:t xml:space="preserve"> 裁减 history、用户可回答时，agent 能否主动获取 missing preferences 并把答案落实到交付物？</w:t>
      </w:r>
    </w:p>
    <w:p>
      <w:r>
        <w:rPr>
          <w:rFonts w:ascii="Calibri" w:hAnsi="Calibri" w:eastAsia="PingFang SC"/>
          <w:b/>
        </w:rPr>
        <w:t>RQ2 Calibration。</w:t>
      </w:r>
      <w:r>
        <w:rPr>
          <w:rFonts w:ascii="Calibri" w:hAnsi="Calibri" w:eastAsia="PingFang SC"/>
        </w:rPr>
        <w:t xml:space="preserve"> 提问概率和优先级是否随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增加？“所有域都问差不多、偏问低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”是待检验零假设，不是预写结果。</w:t>
      </w:r>
    </w:p>
    <w:p>
      <w:r>
        <w:rPr>
          <w:rFonts w:ascii="Calibri" w:hAnsi="Calibri" w:eastAsia="PingFang SC"/>
          <w:b/>
        </w:rPr>
        <w:t>RQ3 Infer。</w:t>
      </w:r>
      <w:r>
        <w:rPr>
          <w:rFonts w:ascii="Calibri" w:hAnsi="Calibri" w:eastAsia="PingFang SC"/>
        </w:rPr>
        <w:t xml:space="preserve"> 用户离线时，agent 能否利用 history-evidenced preferences，同时避免对 unidentifiable 或 irrelevant cues 的投射？</w:t>
      </w:r>
    </w:p>
    <w:p>
      <w:r>
        <w:rPr>
          <w:rFonts w:ascii="Calibri" w:hAnsi="Calibri" w:eastAsia="PingFang SC"/>
          <w:b/>
        </w:rPr>
        <w:t>RQ4 Ranking。</w:t>
      </w:r>
      <w:r>
        <w:rPr>
          <w:rFonts w:ascii="Calibri" w:hAnsi="Calibri" w:eastAsia="PingFang SC"/>
        </w:rPr>
        <w:t xml:space="preserve"> 同一组 Deep Research agent 在 PDR-style full persona、Ask 和 Infer 条件下是否稳定重排？</w:t>
      </w:r>
    </w:p>
    <w:p>
      <w:r>
        <w:rPr>
          <w:rFonts w:ascii="Calibri" w:hAnsi="Calibri" w:eastAsia="PingFang SC"/>
        </w:rPr>
        <w:t>PDR-Bench 不是“implicit elicitation”：它给 agent structured persona，测 full-context personalization / preference projection。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本项目的 Ask 主条件不能直接给完整 persona；Infer 也不能把 PDR simulated context 冒充真实 history。</w:t>
      </w:r>
    </w:p>
    <w:p>
      <w:pPr>
        <w:pStyle w:val="Heading1"/>
      </w:pPr>
      <w:r>
        <w:t>2. 数据与 `δ`</w:t>
      </w:r>
    </w:p>
    <w:p>
      <w:r>
        <w:rPr>
          <w:rFonts w:ascii="Calibri" w:hAnsi="Calibri" w:eastAsia="PingFang SC"/>
        </w:rPr>
        <w:t>一个基础任务固定 task、evidence/repository/dataset、工具、预算和唯一主要交付物。每个 task family 构造三种用户差异：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：不应改变内容决策，用于检测过问和过度个性化；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：改变非关键但有用户确认效用的实现、排序或解释；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set、算法/接口、分析定义、主要切片、结论或关键风险边界。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是运行前的序数 impact label，不是 agent 输出后的分差。每条 preference node 必须绑定具体 deliverable decision、history evidence span、criticality、acceptable alternatives 和 must-change/must-hold/must-not。LLM 可以按 schema 生成 code/data 候选与 atomic rubric leaves；人类用户提供 ground truth，两名验证者独立确认。分歧无法仲裁时剔除，不以平均掩盖。</w:t>
      </w:r>
    </w:p>
    <w:p>
      <w:r>
        <w:rPr>
          <w:rFonts w:ascii="Calibri" w:hAnsi="Calibri" w:eastAsia="PingFang SC"/>
        </w:rPr>
        <w:t>History 中的 nodes 另标记为：</w:t>
      </w: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。Ask 主测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>；Infer 主测 recoverable 利用与 unidentifiable/irrelevant 克制。</w:t>
      </w:r>
    </w:p>
    <w:p>
      <w:pPr>
        <w:pStyle w:val="Heading1"/>
      </w:pPr>
      <w:r>
        <w:t>3. 实验条件</w:t>
      </w:r>
    </w:p>
    <w:p>
      <w:pPr>
        <w:pStyle w:val="Heading2"/>
      </w:pPr>
      <w:r>
        <w:t>3.1 Ask：三个 vertical</w:t>
      </w:r>
    </w:p>
    <w:p>
      <w:pPr>
        <w:pStyle w:val="ListBullet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history，关闭用户通道；</w:t>
      </w:r>
    </w:p>
    <w:p>
      <w:pPr>
        <w:pStyle w:val="ListBullet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 history，用户可回答，固定 question/turn/token budget；</w:t>
      </w:r>
    </w:p>
    <w:p>
      <w:pPr>
        <w:pStyle w:val="ListBullet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 task-relevant nodes。</w:t>
      </w:r>
    </w:p>
    <w:p>
      <w:r>
        <w:rPr>
          <w:rFonts w:ascii="Calibri" w:hAnsi="Calibri" w:eastAsia="PingFang SC"/>
        </w:rPr>
        <w:t>主 prompt 不提醒个性化或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 Nudge 只诊断“不会自主触发”与“被提醒后仍不会问”的区别。</w:t>
      </w:r>
    </w:p>
    <w:p>
      <w:pPr>
        <w:pStyle w:val="Heading2"/>
      </w:pPr>
      <w:r>
        <w:t>3.2 Infer：Deep Research only</w:t>
      </w:r>
    </w:p>
    <w:p>
      <w:pPr>
        <w:pStyle w:val="ListBullet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：同一授权 history，禁止提问；</w:t>
      </w:r>
    </w:p>
    <w:p>
      <w:pPr>
        <w:pStyle w:val="ListBullet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：只在 PDR overlap slice 使用。</w:t>
      </w:r>
    </w:p>
    <w:p>
      <w:r>
        <w:rPr>
          <w:rFonts w:ascii="Calibri" w:hAnsi="Calibri" w:eastAsia="PingFang SC"/>
        </w:rPr>
        <w:t>Infer 不要求猜中 history 中不存在的偏好。正确策略可以保守默认、显式分支或声明不确定性；unsupported projection 是独立 boundary failure。</w:t>
      </w:r>
    </w:p>
    <w:p>
      <w:pPr>
        <w:pStyle w:val="Heading2"/>
      </w:pPr>
      <w:r>
        <w:t>3.3 PDR 资源复用</w:t>
      </w:r>
    </w:p>
    <w:p>
      <w:r>
        <w:rPr>
          <w:rFonts w:ascii="Calibri" w:hAnsi="Calibri" w:eastAsia="PingFang SC"/>
        </w:rPr>
        <w:t>PDR tasks 可作 DR source shell，structured persona 可作 bridge 条件；但每个确认性 case 仍须重新冻结 task-conditioned nodes、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、history evidence、matched/swapped 和 human rubric。官方 persona 不能直接进入 Ask 主条件，simulated context 不能称为自然 history。</w:t>
      </w:r>
    </w:p>
    <w:p>
      <w:pPr>
        <w:pStyle w:val="Heading1"/>
      </w:pPr>
      <w:r>
        <w:t>4. 过程与最终指标</w:t>
      </w:r>
    </w:p>
    <w:p>
      <w:pPr>
        <w:pStyle w:val="Heading2"/>
      </w:pPr>
      <w:r>
        <w:t>4.1 Ask Calibration</w:t>
      </w:r>
    </w:p>
    <w:p>
      <w:r>
        <w:rPr>
          <w:rFonts w:ascii="Calibri" w:hAnsi="Calibri" w:eastAsia="PingFang SC"/>
        </w:rPr>
        <w:t xml:space="preserve">主过程 profile：High-δ Recall@B、Question Precision@B、Low/Zero-δ Question Rate、First-Critical Rank、Stopping Error、User Burden，以及 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主校准模型：</w:t>
      </w:r>
    </w:p>
    <w:p>
      <w:r>
        <w:rPr>
          <w:rFonts w:ascii="Courier New" w:hAnsi="Courier New" w:eastAsia="PingFang SC"/>
          <w:color w:val="6A3E00"/>
          <w:sz w:val="20"/>
        </w:rPr>
        <w:t>logit P(Asked_fka=1) = α_a + β_a·δ_fk + controls + u_family</w:t>
      </w:r>
    </w:p>
    <w:p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测提问是否随 deliverable impact 增加。Node、question、turn 都不当独立样本；推断按基础任务聚类。</w:t>
      </w:r>
    </w:p>
    <w:p>
      <w:pPr>
        <w:pStyle w:val="Heading2"/>
      </w:pPr>
      <w:r>
        <w:t>4.2 Final deliverable 与 CFA</w:t>
      </w:r>
    </w:p>
    <w:p>
      <w:r>
        <w:rPr>
          <w:rFonts w:ascii="Calibri" w:hAnsi="Calibri" w:eastAsia="PingFang SC"/>
        </w:rPr>
        <w:t xml:space="preserve">用户 A/B 的冻结评分函数交叉评价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>：</w:t>
      </w:r>
    </w:p>
    <w:p>
      <w:r>
        <w:rPr>
          <w:rFonts w:ascii="Courier New" w:hAnsi="Courier New" w:eastAsia="PingFang SC"/>
          <w:color w:val="6A3E00"/>
          <w:sz w:val="20"/>
        </w:rPr>
        <w:t>Δ_A = PF_A(Y_A)-PF_A(Y_B)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只表示 final artifact 的跨用户特异性。确认性成功还必须通过 matched absolute adequacy、Ask vs No-Ask 或 Infer vs Task-Only gain、shared quality/functionality no-harm、privacy/permission/unsupported-projection boundary 和目标用户盲化选择。维度不合成总分。</w:t>
      </w:r>
    </w:p>
    <w:p>
      <w:pPr>
        <w:pStyle w:val="Heading1"/>
      </w:pPr>
      <w:r>
        <w:t>5. 排名反转</w:t>
      </w:r>
    </w:p>
    <w:p>
      <w:r>
        <w:rPr>
          <w:rFonts w:ascii="Calibri" w:hAnsi="Calibri" w:eastAsia="PingFang SC"/>
        </w:rPr>
        <w:t xml:space="preserve">共享 DR slice 对同一 agent 版本、工具、预算和时间窗计算 PDR-style、Ask 和 Infer profile。报告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与 family-cluster bootstrap。只有稳定 inversion 才能说能力排名重排；公开旧 leaderboard 与新运行不能直接比较。</w:t>
      </w:r>
    </w:p>
    <w:p>
      <w:r>
        <w:rPr>
          <w:rFonts w:ascii="Calibri" w:hAnsi="Calibri" w:eastAsia="PingFang SC"/>
        </w:rPr>
        <w:t xml:space="preserve">若排序一致，仍可报告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校准和 acquisition-to-use failure，但不能声称 PDR 排名误导。若差异由 token、长度、provider、搜索深度或 judge 解释，按混杂降级。</w:t>
      </w:r>
    </w:p>
    <w:p>
      <w:pPr>
        <w:pStyle w:val="Heading1"/>
      </w:pPr>
      <w:r>
        <w:t>6. 最小实验与统计</w:t>
      </w:r>
    </w:p>
    <w:p>
      <w:r>
        <w:rPr>
          <w:rFonts w:ascii="Calibri" w:hAnsi="Calibri" w:eastAsia="PingFang SC"/>
        </w:rPr>
        <w:t xml:space="preserve">Novelty-kill pilot：6 个基础任务（每个 vertical 2 个）× 3 个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strata × 4 个 agent × A0/A1/A2，约 216 个 Ask episode；2 个 DR 任务追加 I0–I3。该规模只验证操纵、日志、rubric 和近邻增量。</w:t>
      </w:r>
    </w:p>
    <w:p>
      <w:r>
        <w:rPr>
          <w:rFonts w:ascii="Calibri" w:hAnsi="Calibri" w:eastAsia="PingFang SC"/>
        </w:rPr>
        <w:t>条件性主实验目标 24 个独立基础任务（8/8/8），Infer/PDR bridge 保留 8–12 个 DR 任务。最终 agent、repeat 和 family 数由 pilot family-level 方差与最小实际重要差异做功效模拟后冻结。统计单位是基础任务，不是 user、pair、seed、turn 或 leaf。</w:t>
      </w:r>
    </w:p>
    <w:p>
      <w:pPr>
        <w:pStyle w:val="Heading1"/>
      </w:pPr>
      <w:r>
        <w:t>7. 最强风险与停止条件</w:t>
      </w:r>
    </w:p>
    <w:p>
      <w:pPr>
        <w:pStyle w:val="ListBullet"/>
      </w:pPr>
      <w:r>
        <w:rPr>
          <w:rFonts w:ascii="Calibri" w:hAnsi="Calibri" w:eastAsia="PingFang SC"/>
          <w:b/>
        </w:rPr>
        <w:t>G-STEER/IDRBench 的跨域扩展。</w:t>
      </w:r>
      <w:r>
        <w:rPr>
          <w:rFonts w:ascii="Calibri" w:hAnsi="Calibri" w:eastAsia="PingFang SC"/>
        </w:rPr>
        <w:t xml:space="preserve"> 若已有 target coverage、question cost 和通用质量完全预测新 profile，贡献不足。</w:t>
      </w:r>
      <w:hyperlink r:id="rId12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3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LLM 造 persona/rubric 循环。</w:t>
      </w:r>
      <w:r>
        <w:rPr>
          <w:rFonts w:ascii="Calibri" w:hAnsi="Calibri" w:eastAsia="PingFang SC"/>
        </w:rPr>
        <w:t xml:space="preserve"> Human-authored critical nodes 优先，compiler-only inference 确认性权重为 0。</w:t>
      </w:r>
    </w:p>
    <w:p>
      <w:pPr>
        <w:pStyle w:val="ListBullet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recoverable/unidentifiable/irrelevant 分开，加入 cue deletion、demographic swap 和 wrong-history controls；同一 persona 的不同 cues 已知会改变模型结果。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[8]</w:t>
        </w:r>
      </w:hyperlink>
    </w:p>
    <w:p>
      <w:pPr>
        <w:pStyle w:val="ListBullet"/>
      </w:pPr>
      <w:r>
        <w:rPr>
          <w:rFonts w:ascii="Calibri" w:hAnsi="Calibri" w:eastAsia="PingFang SC"/>
          <w:b/>
        </w:rPr>
        <w:t>多问获得更多算力。</w:t>
      </w:r>
      <w:r>
        <w:rPr>
          <w:rFonts w:ascii="Calibri" w:hAnsi="Calibri" w:eastAsia="PingFang SC"/>
        </w:rPr>
        <w:t xml:space="preserve"> 执行预算和交互预算分开冻结，报告 burden 与 quality-cost frontier。</w:t>
      </w:r>
    </w:p>
    <w:p>
      <w:pPr>
        <w:pStyle w:val="ListBullet"/>
      </w:pPr>
      <w:r>
        <w:rPr>
          <w:rFonts w:ascii="Calibri" w:hAnsi="Calibri" w:eastAsia="PingFang SC"/>
          <w:b/>
        </w:rPr>
        <w:t>模拟器效度。</w:t>
      </w:r>
      <w:r>
        <w:rPr>
          <w:rFonts w:ascii="Calibri" w:hAnsi="Calibri" w:eastAsia="PingFang SC"/>
        </w:rPr>
        <w:t xml:space="preserve"> 正式结论需真人对话子集；模拟器排序若与真人不稳定，主榜降级。</w:t>
      </w:r>
    </w:p>
    <w:p>
      <w:pPr>
        <w:pStyle w:val="ListBullet"/>
      </w:pPr>
      <w:r>
        <w:rPr>
          <w:rFonts w:ascii="Calibri" w:hAnsi="Calibri" w:eastAsia="PingFang SC"/>
          <w:b/>
        </w:rPr>
        <w:t>`δ` 不可靠。</w:t>
      </w:r>
      <w:r>
        <w:rPr>
          <w:rFonts w:ascii="Calibri" w:hAnsi="Calibri" w:eastAsia="PingFang SC"/>
        </w:rPr>
        <w:t xml:space="preserve"> 若盲化验证者不能稳定区分 0/low/high，停止 ask-calibration 主张。</w:t>
      </w:r>
    </w:p>
    <w:p>
      <w:pPr>
        <w:pStyle w:val="ListBullet"/>
      </w:pPr>
      <w:r>
        <w:rPr>
          <w:rFonts w:ascii="Calibri" w:hAnsi="Calibri" w:eastAsia="PingFang SC"/>
          <w:b/>
        </w:rPr>
        <w:t>无系统重分类。</w:t>
      </w:r>
      <w:r>
        <w:rPr>
          <w:rFonts w:ascii="Calibri" w:hAnsi="Calibri" w:eastAsia="PingFang SC"/>
        </w:rPr>
        <w:t xml:space="preserve"> 若新 profile 不改变任何经验结论或真人预测，降级为透明诊断扩展。</w:t>
      </w:r>
    </w:p>
    <w:p>
      <w:pPr>
        <w:pStyle w:val="Heading1"/>
      </w:pPr>
      <w:r>
        <w:t>8. 候选贡献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Ask/Infer 双情境下的 task-specific personalization evaluation；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同任务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操纵与有限问题预算的 Ask Calibration；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真人提供关键 decision nodes、LLM 受约束补充 rubric 的 provenance-aware ground truth；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acquisition、inference、final utilization 的不可补偿分解；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在同窗 DR slice 上检验 PDR-style full-persona 排名是否可外推，而不预设反转。</w:t>
      </w:r>
    </w:p>
    <w:p>
      <w:r>
        <w:rPr>
          <w:rFonts w:ascii="Calibri" w:hAnsi="Calibri" w:eastAsia="PingFang SC"/>
        </w:rPr>
        <w:t>允许声称可观察行为和交付物差异；不能声称模型内部真正理解用户、首次研究澄清、任何 history 都可推断偏好，或排名必然反转。</w:t>
      </w:r>
    </w:p>
    <w:p>
      <w:pPr>
        <w:sectPr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14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https://arxiv.org/abs/2602.03468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15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https://arxiv.org/abs/2606.27669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https://aclanthology.org/2026.acl-long.723/</w:t>
        </w:r>
      </w:hyperlink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https://aclanthology.org/2026.acl-long.2079/</w:t>
        </w:r>
      </w:hyperlink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yperlink" Target="https://arxiv.org/abs/2608.05876" TargetMode="External"/><Relationship Id="rId13" Type="http://schemas.openxmlformats.org/officeDocument/2006/relationships/hyperlink" Target="https://arxiv.org/abs/2601.06676" TargetMode="External"/><Relationship Id="rId14" Type="http://schemas.openxmlformats.org/officeDocument/2006/relationships/hyperlink" Target="https://arxiv.org/abs/2602.03468" TargetMode="External"/><Relationship Id="rId15" Type="http://schemas.openxmlformats.org/officeDocument/2006/relationships/hyperlink" Target="https://arxiv.org/abs/2606.27669" TargetMode="External"/><Relationship Id="rId16" Type="http://schemas.openxmlformats.org/officeDocument/2006/relationships/header" Target="header2.xml"/><Relationship Id="rId17" Type="http://schemas.openxmlformats.org/officeDocument/2006/relationships/footer" Target="footer2.xml"/><Relationship Id="rId18" Type="http://schemas.openxmlformats.org/officeDocument/2006/relationships/image" Target="media/image1.png"/><Relationship Id="rId19" Type="http://schemas.openxmlformats.org/officeDocument/2006/relationships/header" Target="header3.xml"/><Relationship Id="rId20" Type="http://schemas.openxmlformats.org/officeDocument/2006/relationships/footer" Target="footer3.xml"/><Relationship Id="rId21" Type="http://schemas.openxmlformats.org/officeDocument/2006/relationships/hyperlink" Target="https://github.com/OPPO-PersonalAI/PersonalizedDeepResearchBench" TargetMode="External"/><Relationship Id="rId22" Type="http://schemas.openxmlformats.org/officeDocument/2006/relationships/hyperlink" Target="https://aclanthology.org/2026.acl-long.2079/" TargetMode="External"/><Relationship Id="rId23" Type="http://schemas.openxmlformats.org/officeDocument/2006/relationships/hyperlink" Target="https://aclanthology.org/2026.acl-long.7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