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840" w:after="360"/>
        <w:jc w:val="center"/>
      </w:pPr>
      <w:r>
        <w:rPr>
          <w:rFonts w:ascii="Calibri" w:hAnsi="Calibri" w:eastAsia="PingFang SC"/>
          <w:b/>
          <w:color w:val="B68026"/>
          <w:sz w:val="22"/>
        </w:rPr>
        <w:t>ADVISOR BRIEF</w:t>
      </w:r>
    </w:p>
    <w:p>
      <w:pPr>
        <w:spacing w:after="160"/>
        <w:jc w:val="center"/>
      </w:pPr>
      <w:r>
        <w:rPr>
          <w:rFonts w:ascii="Calibri" w:hAnsi="Calibri" w:eastAsia="PingFang SC"/>
          <w:b/>
          <w:color w:val="163A63"/>
          <w:sz w:val="60"/>
        </w:rPr>
        <w:t>Ask or Infer?｜汇报精简版</w:t>
      </w:r>
    </w:p>
    <w:p>
      <w:pPr>
        <w:spacing w:after="360"/>
        <w:jc w:val="center"/>
      </w:pPr>
      <w:r>
        <w:rPr>
          <w:rFonts w:ascii="Calibri" w:hAnsi="Calibri" w:eastAsia="PingFang SC"/>
          <w:color w:val="2E74B5"/>
          <w:sz w:val="34"/>
        </w:rPr>
        <w:t>15–20 分钟讲清 δ、Ask / Infer、CFA 与 novelty-kill pilot</w:t>
      </w:r>
    </w:p>
    <w:p>
      <w:pPr>
        <w:spacing w:after="520"/>
        <w:jc w:val="center"/>
        <w:pBdr>
          <w:bottom w:val="single" w:sz="8" w:space="8" w:color="7A9BB7"/>
        </w:pBdr>
      </w:pPr>
      <w:r>
        <w:rPr>
          <w:rFonts w:ascii="Calibri" w:hAnsi="Calibri" w:eastAsia="PingFang SC"/>
          <w:b/>
          <w:color w:val="5B6B7A"/>
          <w:sz w:val="21"/>
        </w:rPr>
        <w:t>导师汇报 · 组会讲解 · 决策讨论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/>
                <w:color w:val="163A63"/>
                <w:sz w:val="21"/>
              </w:rPr>
              <w:t>文档版本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 w:val="0"/>
                <w:color w:val="5B6B7A"/>
                <w:sz w:val="21"/>
              </w:rPr>
              <w:t>v0.60 · 汇报精简版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/>
                <w:color w:val="163A63"/>
                <w:sz w:val="21"/>
              </w:rPr>
              <w:t>日期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 w:val="0"/>
                <w:color w:val="5B6B7A"/>
                <w:sz w:val="21"/>
              </w:rPr>
              <w:t>2026 年 8 月 24 日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/>
                <w:color w:val="163A63"/>
                <w:sz w:val="21"/>
              </w:rPr>
              <w:t>研究主线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 w:val="0"/>
                <w:color w:val="5B6B7A"/>
                <w:sz w:val="21"/>
              </w:rPr>
              <w:t>Full Persona → Ask High-δ → Infer with Evidence → Final Delivery</w:t>
            </w:r>
          </w:p>
        </w:tc>
      </w:tr>
    </w:tbl>
    <w:p>
      <w:pPr>
        <w:spacing w:before="520" w:after="160"/>
        <w:jc w:val="center"/>
      </w:pPr>
      <w:r>
        <w:rPr>
          <w:rFonts w:ascii="Calibri" w:hAnsi="Calibri" w:eastAsia="PingFang SC"/>
          <w:b/>
          <w:color w:val="2E74B5"/>
          <w:sz w:val="22"/>
        </w:rPr>
        <w:t>核心命题</w:t>
      </w:r>
    </w:p>
    <w:p>
      <w:pPr>
        <w:spacing w:after="0"/>
        <w:ind w:left="720" w:right="720"/>
        <w:jc w:val="center"/>
      </w:pPr>
      <w:r>
        <w:rPr>
          <w:rFonts w:ascii="Calibri" w:hAnsi="Calibri" w:eastAsia="PingFang SC"/>
          <w:b/>
          <w:color w:val="163A63"/>
          <w:sz w:val="24"/>
        </w:rPr>
        <w:t>PDR 测完整 persona 给到后会不会用；本项目测缺信息时会不会问、用户离线时会不会有边界地推断。</w:t>
      </w:r>
    </w:p>
    <w:p>
      <w:r>
        <w:br w:type="page"/>
      </w:r>
    </w:p>
    <w:p>
      <w:pPr>
        <w:pStyle w:val="Heading1"/>
        <w:spacing w:before="0"/>
      </w:pPr>
      <w:r>
        <w:t>内容导航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PDR 边界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四个 RQ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δ 与真人真值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Ask / Infer 条件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Ask Calibration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CFA 与非补偿评分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排名稳定性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Pilot 与 Go / No-Go</w:t>
      </w:r>
    </w:p>
    <w:p>
      <w:pPr>
        <w:spacing w:before="240" w:after="0"/>
      </w:pPr>
      <w:r>
        <w:rPr>
          <w:rFonts w:ascii="Calibri" w:hAnsi="Calibri" w:eastAsia="PingFang SC"/>
          <w:i/>
          <w:color w:val="5B6B7A"/>
          <w:sz w:val="21"/>
        </w:rPr>
        <w:t>建议讲法：3 分钟 PDR 边界，4 分钟 δ 与双轨，4 分钟过程/最终指标，4 分钟 pilot 与停止门。</w:t>
      </w:r>
    </w:p>
    <w:p>
      <w:r>
        <w:br w:type="page"/>
      </w:r>
    </w:p>
    <w:p>
      <w:pPr>
        <w:sectPr>
          <w:headerReference w:type="default" r:id="rId9"/>
          <w:footerReference w:type="default" r:id="rId10"/>
          <w:pgSz w:w="12240" w:h="15840"/>
          <w:pgMar w:top="1080" w:right="1080" w:bottom="1080" w:left="1080" w:header="708" w:footer="708" w:gutter="0"/>
          <w:cols w:space="720"/>
          <w:docGrid w:linePitch="360"/>
        </w:sectPr>
      </w:pPr>
    </w:p>
    <w:p>
      <w:pPr>
        <w:spacing w:after="160"/>
        <w:jc w:val="center"/>
      </w:pPr>
      <w:r>
        <w:rPr>
          <w:rFonts w:ascii="Calibri" w:hAnsi="Calibri" w:eastAsia="PingFang SC"/>
          <w:b/>
          <w:color w:val="163A63"/>
          <w:sz w:val="34"/>
        </w:rPr>
        <w:t>AskInfer-Bench：一张图讲完评测流程</w:t>
      </w:r>
    </w:p>
    <w:p>
      <w:pPr>
        <w:spacing w:after="100"/>
        <w:jc w:val="center"/>
      </w:pPr>
      <w:r>
        <w:drawing>
          <wp:inline xmlns:a="http://schemas.openxmlformats.org/drawingml/2006/main" xmlns:pic="http://schemas.openxmlformats.org/drawingml/2006/picture">
            <wp:extent cx="8732520" cy="4912042"/>
            <wp:docPr id="1" name="Picture 1" descr="AskInfer-Bench 研究流程：从同任务 delta 操纵和真人真值，到 Ask / Infer 双轨、提问校准、跨用户交付物评分与 PDR 排名稳定性。" title="AskInfer-Bench 研究设计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skInfer-Bench_评测框架_v0.60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732520" cy="49120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Calibri" w:hAnsi="Calibri" w:eastAsia="PingFang SC"/>
          <w:i/>
          <w:color w:val="5B6B7A"/>
          <w:sz w:val="19"/>
        </w:rPr>
        <w:t>图 1  同任务 δ 操纵、Ask / Infer 条件、过程校准、最终交付物和 PDR 排名稳定性。</w:t>
      </w:r>
    </w:p>
    <w:p>
      <w:pPr>
        <w:sectPr>
          <w:headerReference w:type="default" r:id="rId11"/>
          <w:footerReference w:type="default" r:id="rId12"/>
          <w:pgSz w:w="15840" w:h="12240" w:orient="landscape"/>
          <w:pgMar w:top="936" w:right="936" w:bottom="936" w:left="936" w:header="708" w:footer="708" w:gutter="0"/>
          <w:cols w:space="720"/>
          <w:docGrid w:linePitch="360"/>
        </w:sectPr>
      </w:pPr>
    </w:p>
    <w:p>
      <w:pPr>
        <w:pStyle w:val="Heading1"/>
      </w:pPr>
      <w:r>
        <w:t>0. 一句话</w:t>
      </w:r>
    </w:p>
    <w:p>
      <w:r>
        <w:rPr>
          <w:rFonts w:ascii="Calibri" w:hAnsi="Calibri" w:eastAsia="PingFang SC"/>
        </w:rPr>
        <w:t>在用户不主动补全 specification 的真实情境中，评价 agent 是否会问真正改变交付物的偏好；用户离线时，评价 agent 是否只从 history 的证据做有边界的推断。</w:t>
      </w:r>
    </w:p>
    <w:p>
      <w:pPr>
        <w:pStyle w:val="Heading1"/>
      </w:pPr>
      <w:r>
        <w:t>1. 相对 PDR-Bench 改了什么</w:t>
      </w:r>
    </w:p>
    <w:p>
      <w:r>
        <w:rPr>
          <w:rFonts w:ascii="Calibri" w:hAnsi="Calibri" w:eastAsia="PingFang SC"/>
        </w:rPr>
        <w:t>PDR-Bench：</w:t>
      </w:r>
      <w:r>
        <w:rPr>
          <w:rFonts w:ascii="Courier New" w:hAnsi="Courier New" w:eastAsia="PingFang SC"/>
          <w:color w:val="6A3E00"/>
          <w:sz w:val="20"/>
        </w:rPr>
        <w:t>task + full structured persona → personalized Deep Research report</w:t>
      </w:r>
      <w:r>
        <w:rPr>
          <w:rFonts w:ascii="Calibri" w:hAnsi="Calibri" w:eastAsia="PingFang SC"/>
        </w:rPr>
        <w:t>，测完整用户信息给到后会不会用。</w:t>
      </w:r>
      <w:hyperlink r:id="rId16">
        <w:r>
          <w:rPr>
            <w:rFonts w:ascii="Calibri" w:hAnsi="Calibri" w:eastAsia="PingFang SC"/>
            <w:color w:val="2E74B5"/>
            <w:u w:val="single"/>
          </w:rPr>
          <w:t>[1]</w:t>
        </w:r>
      </w:hyperlink>
    </w:p>
    <w:p>
      <w:r>
        <w:rPr>
          <w:rFonts w:ascii="Calibri" w:hAnsi="Calibri" w:eastAsia="PingFang SC"/>
        </w:rPr>
        <w:t>本项目：</w:t>
      </w:r>
    </w:p>
    <w:p>
      <w:pPr>
        <w:pStyle w:val="ListBullet"/>
      </w:pPr>
      <w:r>
        <w:rPr>
          <w:rFonts w:ascii="Calibri" w:hAnsi="Calibri" w:eastAsia="PingFang SC"/>
          <w:b/>
        </w:rPr>
        <w:t>Ask</w:t>
      </w:r>
      <w:r>
        <w:rPr>
          <w:rFonts w:ascii="Calibri" w:hAnsi="Calibri" w:eastAsia="PingFang SC"/>
        </w:rPr>
        <w:t>：裁减 history，用户在线，agent 自己决定问什么；Research / Coding / Data 三域；</w:t>
      </w:r>
    </w:p>
    <w:p>
      <w:pPr>
        <w:pStyle w:val="ListBullet"/>
      </w:pPr>
      <w:r>
        <w:rPr>
          <w:rFonts w:ascii="Calibri" w:hAnsi="Calibri" w:eastAsia="PingFang SC"/>
          <w:b/>
        </w:rPr>
        <w:t>Infer</w:t>
      </w:r>
      <w:r>
        <w:rPr>
          <w:rFonts w:ascii="Calibri" w:hAnsi="Calibri" w:eastAsia="PingFang SC"/>
        </w:rPr>
        <w:t>：同一 history，用户离线，agent 只能 evidence-bounded inference；首版只做 Deep Research；</w:t>
      </w:r>
    </w:p>
    <w:p>
      <w:pPr>
        <w:pStyle w:val="ListBullet"/>
      </w:pPr>
      <w:r>
        <w:rPr>
          <w:rFonts w:ascii="Calibri" w:hAnsi="Calibri" w:eastAsia="PingFang SC"/>
          <w:b/>
        </w:rPr>
        <w:t>Bridge</w:t>
      </w:r>
      <w:r>
        <w:rPr>
          <w:rFonts w:ascii="Calibri" w:hAnsi="Calibri" w:eastAsia="PingFang SC"/>
        </w:rPr>
        <w:t>：共享 DR slice 追加 PDR-style full persona，检验同一 agent 排名是否稳定。</w:t>
      </w:r>
    </w:p>
    <w:p>
      <w:r>
        <w:rPr>
          <w:rFonts w:ascii="Calibri" w:hAnsi="Calibri" w:eastAsia="PingFang SC"/>
        </w:rPr>
        <w:t>纠正：PDR 不是 implicit elicitation；它是 full-context inference/projection。完整 persona 不能进入 Ask 主条件。</w:t>
      </w:r>
    </w:p>
    <w:p>
      <w:pPr>
        <w:pStyle w:val="Heading1"/>
      </w:pPr>
      <w:r>
        <w:t>2. 四个 RQ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Ask 是否相对 No-Ask 提高最终交付物？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 xml:space="preserve">提问行为是否随 preference divergence 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 xml:space="preserve"> 增加？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Infer 能否利用 history-evidenced preference，同时抑制 unsupported projection？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PDR-style、Ask、Infer 的系统排序是否稳定重排？</w:t>
      </w:r>
    </w:p>
    <w:p>
      <w:r>
        <w:rPr>
          <w:rFonts w:ascii="Calibri" w:hAnsi="Calibri" w:eastAsia="PingFang SC"/>
        </w:rPr>
        <w:t xml:space="preserve">“模型不区分 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>”“排名反转”都只是预注册假设，不是预设结论。</w:t>
      </w:r>
    </w:p>
    <w:p>
      <w:pPr>
        <w:pStyle w:val="Heading1"/>
      </w:pPr>
      <w:r>
        <w:t>3. `δ` 怎样定义</w:t>
      </w:r>
    </w:p>
    <w:p>
      <w:r>
        <w:rPr>
          <w:rFonts w:ascii="Calibri" w:hAnsi="Calibri" w:eastAsia="PingFang SC"/>
        </w:rPr>
        <w:t xml:space="preserve">同一基础任务构造 </w:t>
      </w:r>
      <w:r>
        <w:rPr>
          <w:rFonts w:ascii="Courier New" w:hAnsi="Courier New" w:eastAsia="PingFang SC"/>
          <w:color w:val="6A3E00"/>
          <w:sz w:val="20"/>
        </w:rPr>
        <w:t>δ=0 / low / high</w:t>
      </w:r>
      <w:r>
        <w:rPr>
          <w:rFonts w:ascii="Calibri" w:hAnsi="Calibri" w:eastAsia="PingFang SC"/>
        </w:rPr>
        <w:t xml:space="preserve"> 用户差异：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0</w:t>
      </w:r>
      <w:r>
        <w:rPr>
          <w:rFonts w:ascii="Calibri" w:hAnsi="Calibri" w:eastAsia="PingFang SC"/>
        </w:rPr>
        <w:t>：不应改变内容决定；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low</w:t>
      </w:r>
      <w:r>
        <w:rPr>
          <w:rFonts w:ascii="Calibri" w:hAnsi="Calibri" w:eastAsia="PingFang SC"/>
        </w:rPr>
        <w:t>：改变辅助实现、排序或解释；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high</w:t>
      </w:r>
      <w:r>
        <w:rPr>
          <w:rFonts w:ascii="Calibri" w:hAnsi="Calibri" w:eastAsia="PingFang SC"/>
        </w:rPr>
        <w:t>：改变 evidence set、算法/接口、指标定义、关键切片、结论或风险边界。</w:t>
      </w:r>
    </w:p>
    <w:p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 xml:space="preserve"> 在模型运行前由用户、任务专家和两名独立验证者冻结。每条 preference 必须指向具体 deliverable decision。两人无法解决的分歧直接剔除。</w:t>
      </w:r>
    </w:p>
    <w:p>
      <w:pPr>
        <w:pStyle w:val="Heading1"/>
      </w:pPr>
      <w:r>
        <w:t>4. Ask 条件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A0 No-Ask</w:t>
      </w:r>
      <w:r>
        <w:rPr>
          <w:rFonts w:ascii="Calibri" w:hAnsi="Calibri" w:eastAsia="PingFang SC"/>
        </w:rPr>
        <w:t>：裁减 history，用户通道关闭；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A1 Ask-Enabled</w:t>
      </w:r>
      <w:r>
        <w:rPr>
          <w:rFonts w:ascii="Calibri" w:hAnsi="Calibri" w:eastAsia="PingFang SC"/>
        </w:rPr>
        <w:t>：同一 history，用户可回答，固定问题/turn/token budget；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A2 Task-Specific Oracle</w:t>
      </w:r>
      <w:r>
        <w:rPr>
          <w:rFonts w:ascii="Calibri" w:hAnsi="Calibri" w:eastAsia="PingFang SC"/>
        </w:rPr>
        <w:t>：完整 task-relevant preferences 直接给到。</w:t>
      </w:r>
    </w:p>
    <w:p>
      <w:r>
        <w:rPr>
          <w:rFonts w:ascii="Calibri" w:hAnsi="Calibri" w:eastAsia="PingFang SC"/>
        </w:rPr>
        <w:t>少量 Nudge 只诊断自主触发，不进主榜。</w:t>
      </w:r>
    </w:p>
    <w:p>
      <w:pPr>
        <w:pStyle w:val="Heading1"/>
      </w:pPr>
      <w:r>
        <w:t>5. Infer / PDR bridge</w:t>
      </w:r>
    </w:p>
    <w:p>
      <w:r>
        <w:rPr>
          <w:rFonts w:ascii="Calibri" w:hAnsi="Calibri" w:eastAsia="PingFang SC"/>
        </w:rPr>
        <w:t>Deep Research 运行：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I0 Task-Only</w:t>
      </w:r>
      <w:r>
        <w:rPr>
          <w:rFonts w:ascii="Calibri" w:hAnsi="Calibri" w:eastAsia="PingFang SC"/>
        </w:rPr>
        <w:t>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I1 Natural-History Infer</w:t>
      </w:r>
      <w:r>
        <w:rPr>
          <w:rFonts w:ascii="Calibri" w:hAnsi="Calibri" w:eastAsia="PingFang SC"/>
        </w:rPr>
        <w:t>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I2 Task-Specific Oracle</w:t>
      </w:r>
      <w:r>
        <w:rPr>
          <w:rFonts w:ascii="Calibri" w:hAnsi="Calibri" w:eastAsia="PingFang SC"/>
        </w:rPr>
        <w:t>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I3 PDR-Style Full Persona</w:t>
      </w:r>
      <w:r>
        <w:rPr>
          <w:rFonts w:ascii="Calibri" w:hAnsi="Calibri" w:eastAsia="PingFang SC"/>
        </w:rPr>
        <w:t>。</w:t>
      </w:r>
    </w:p>
    <w:p>
      <w:r>
        <w:rPr>
          <w:rFonts w:ascii="Calibri" w:hAnsi="Calibri" w:eastAsia="PingFang SC"/>
        </w:rPr>
        <w:t>History nodes 预先标成 recoverable、missing_askable、unidentifiable、irrelevant。Infer 不奖励对 unidentifiable preference 的猜测命中。</w:t>
      </w:r>
    </w:p>
    <w:p>
      <w:pPr>
        <w:pStyle w:val="Heading1"/>
      </w:pPr>
      <w:r>
        <w:t>6. Ask Calibration Under Preference Divergence</w:t>
      </w:r>
    </w:p>
    <w:p>
      <w:r>
        <w:rPr>
          <w:rFonts w:ascii="Calibri" w:hAnsi="Calibri" w:eastAsia="PingFang SC"/>
        </w:rPr>
        <w:t>不看“问了几个”，看“有限预算问在哪里”：</w:t>
      </w:r>
    </w:p>
    <w:p>
      <w:pPr>
        <w:pStyle w:val="ListBullet"/>
      </w:pPr>
      <w:r>
        <w:rPr>
          <w:rFonts w:ascii="Calibri" w:hAnsi="Calibri" w:eastAsia="PingFang SC"/>
        </w:rPr>
        <w:t>High-δ Recall@B；</w:t>
      </w:r>
    </w:p>
    <w:p>
      <w:pPr>
        <w:pStyle w:val="ListBullet"/>
      </w:pPr>
      <w:r>
        <w:rPr>
          <w:rFonts w:ascii="Calibri" w:hAnsi="Calibri" w:eastAsia="PingFang SC"/>
        </w:rPr>
        <w:t>Question Precision@B；</w:t>
      </w:r>
    </w:p>
    <w:p>
      <w:pPr>
        <w:pStyle w:val="ListBullet"/>
      </w:pPr>
      <w:r>
        <w:rPr>
          <w:rFonts w:ascii="Calibri" w:hAnsi="Calibri" w:eastAsia="PingFang SC"/>
        </w:rPr>
        <w:t>Low/Zero-δ Question Rate；</w:t>
      </w:r>
    </w:p>
    <w:p>
      <w:pPr>
        <w:pStyle w:val="ListBullet"/>
      </w:pPr>
      <w:r>
        <w:rPr>
          <w:rFonts w:ascii="Calibri" w:hAnsi="Calibri" w:eastAsia="PingFang SC"/>
        </w:rPr>
        <w:t>First-Critical Rank；</w:t>
      </w:r>
    </w:p>
    <w:p>
      <w:pPr>
        <w:pStyle w:val="ListBullet"/>
      </w:pPr>
      <w:r>
        <w:rPr>
          <w:rFonts w:ascii="Calibri" w:hAnsi="Calibri" w:eastAsia="PingFang SC"/>
        </w:rPr>
        <w:t>Stopping Error；</w:t>
      </w:r>
    </w:p>
    <w:p>
      <w:pPr>
        <w:pStyle w:val="ListBullet"/>
      </w:pPr>
      <w:r>
        <w:rPr>
          <w:rFonts w:ascii="Calibri" w:hAnsi="Calibri" w:eastAsia="PingFang SC"/>
        </w:rPr>
        <w:t>User Burden；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unknown → asked → answered → planned → artifact-evidenced → decision_changed</w:t>
      </w:r>
      <w:r>
        <w:rPr>
          <w:rFonts w:ascii="Calibri" w:hAnsi="Calibri" w:eastAsia="PingFang SC"/>
        </w:rPr>
        <w:t>。</w:t>
      </w:r>
    </w:p>
    <w:p>
      <w:r>
        <w:rPr>
          <w:rFonts w:ascii="Calibri" w:hAnsi="Calibri" w:eastAsia="PingFang SC"/>
        </w:rPr>
        <w:t xml:space="preserve">主模型估计 </w:t>
      </w:r>
      <w:r>
        <w:rPr>
          <w:rFonts w:ascii="Courier New" w:hAnsi="Courier New" w:eastAsia="PingFang SC"/>
          <w:color w:val="6A3E00"/>
          <w:sz w:val="20"/>
        </w:rPr>
        <w:t>P(ask)</w:t>
      </w:r>
      <w:r>
        <w:rPr>
          <w:rFonts w:ascii="Calibri" w:hAnsi="Calibri" w:eastAsia="PingFang SC"/>
        </w:rPr>
        <w:t xml:space="preserve"> 随 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 xml:space="preserve"> 的 agent-specific slope。基础任务是聚类单位，node/turn 不当独立样本。</w:t>
      </w:r>
    </w:p>
    <w:p>
      <w:pPr>
        <w:pStyle w:val="Heading1"/>
      </w:pPr>
      <w:r>
        <w:t>7. CFA 保留，但不越权</w:t>
      </w:r>
    </w:p>
    <w:p>
      <w:r>
        <w:rPr>
          <w:rFonts w:ascii="Calibri" w:hAnsi="Calibri" w:eastAsia="PingFang SC"/>
        </w:rPr>
        <w:t>对用户 A/B 的交付物交叉评分：</w:t>
      </w:r>
    </w:p>
    <w:p>
      <w:r>
        <w:rPr>
          <w:rFonts w:ascii="Courier New" w:hAnsi="Courier New" w:eastAsia="PingFang SC"/>
          <w:color w:val="6A3E00"/>
          <w:sz w:val="20"/>
        </w:rPr>
        <w:t>Δ_A=PF_A(Y_A)-PF_A(Y_B)</w:t>
      </w:r>
    </w:p>
    <w:p>
      <w:r>
        <w:rPr>
          <w:rFonts w:ascii="Courier New" w:hAnsi="Courier New" w:eastAsia="PingFang SC"/>
          <w:color w:val="6A3E00"/>
          <w:sz w:val="20"/>
        </w:rPr>
        <w:t>Δ_B=PF_B(Y_B)-PF_B(Y_A)</w:t>
      </w:r>
    </w:p>
    <w:p>
      <w:r>
        <w:rPr>
          <w:rFonts w:ascii="Courier New" w:hAnsi="Courier New" w:eastAsia="PingFang SC"/>
          <w:color w:val="6A3E00"/>
          <w:sz w:val="20"/>
        </w:rPr>
        <w:t>CFA_mean=(Δ_A+Δ_B)/2</w:t>
      </w:r>
      <w:r>
        <w:rPr>
          <w:rFonts w:ascii="Calibri" w:hAnsi="Calibri" w:eastAsia="PingFang SC"/>
        </w:rPr>
        <w:t>，</w:t>
      </w:r>
      <w:r>
        <w:rPr>
          <w:rFonts w:ascii="Courier New" w:hAnsi="Courier New" w:eastAsia="PingFang SC"/>
          <w:color w:val="6A3E00"/>
          <w:sz w:val="20"/>
        </w:rPr>
        <w:t>CFA_min=min(Δ_A,Δ_B)</w:t>
      </w:r>
      <w:r>
        <w:rPr>
          <w:rFonts w:ascii="Calibri" w:hAnsi="Calibri" w:eastAsia="PingFang SC"/>
        </w:rPr>
        <w:t>。</w:t>
      </w:r>
    </w:p>
    <w:p>
      <w:r>
        <w:rPr>
          <w:rFonts w:ascii="Calibri" w:hAnsi="Calibri" w:eastAsia="PingFang SC"/>
        </w:rPr>
        <w:t>CFA 只测 final artifact specificity。确认性成功还要同时过：absolute adequacy、Ask-vs-No-Ask / Infer-vs-Task-Only gain、共同质量 no-harm、boundary no-violation 和真人盲评。维度不合成总分。</w:t>
      </w:r>
    </w:p>
    <w:p>
      <w:pPr>
        <w:pStyle w:val="Heading1"/>
      </w:pPr>
      <w:r>
        <w:t>8. Ground truth 与 rubric</w:t>
      </w:r>
    </w:p>
    <w:p>
      <w:pPr>
        <w:pStyle w:val="ListBullet"/>
      </w:pPr>
      <w:r>
        <w:rPr>
          <w:rFonts w:ascii="Calibri" w:hAnsi="Calibri" w:eastAsia="PingFang SC"/>
        </w:rPr>
        <w:t>真人用户提供 task-specific facts、preferences、acceptable alternatives 和 critical decisions；</w:t>
      </w:r>
    </w:p>
    <w:p>
      <w:pPr>
        <w:pStyle w:val="ListBullet"/>
      </w:pPr>
      <w:r>
        <w:rPr>
          <w:rFonts w:ascii="Calibri" w:hAnsi="Calibri" w:eastAsia="PingFang SC"/>
        </w:rPr>
        <w:t>LLM 只做候选扩展和 atomic leaf 编译；</w:t>
      </w:r>
    </w:p>
    <w:p>
      <w:pPr>
        <w:pStyle w:val="ListBullet"/>
      </w:pPr>
      <w:r>
        <w:rPr>
          <w:rFonts w:ascii="Calibri" w:hAnsi="Calibri" w:eastAsia="PingFang SC"/>
        </w:rPr>
        <w:t>两名人类独立 approve/edit/delete；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compiler_inference</w:t>
      </w:r>
      <w:r>
        <w:rPr>
          <w:rFonts w:ascii="Calibri" w:hAnsi="Calibri" w:eastAsia="PingFang SC"/>
        </w:rPr>
        <w:t xml:space="preserve"> 确认性权重为 0；</w:t>
      </w:r>
    </w:p>
    <w:p>
      <w:pPr>
        <w:pStyle w:val="ListBullet"/>
      </w:pPr>
      <w:r>
        <w:rPr>
          <w:rFonts w:ascii="Calibri" w:hAnsi="Calibri" w:eastAsia="PingFang SC"/>
        </w:rPr>
        <w:t>每条 leaf 必须说明会改变哪个 deliverable choice。</w:t>
      </w:r>
    </w:p>
    <w:p>
      <w:r>
        <w:rPr>
          <w:rFonts w:ascii="Calibri" w:hAnsi="Calibri" w:eastAsia="PingFang SC"/>
        </w:rPr>
        <w:t>这避免“LLM 造 persona → LLM 造 rubric → LLM 自己得高分”的循环。</w:t>
      </w:r>
    </w:p>
    <w:p>
      <w:pPr>
        <w:pStyle w:val="Heading1"/>
      </w:pPr>
      <w:r>
        <w:t>9. PDR tasks/persona 的用法</w:t>
      </w:r>
    </w:p>
    <w:p>
      <w:r>
        <w:rPr>
          <w:rFonts w:ascii="Calibri" w:hAnsi="Calibri" w:eastAsia="PingFang SC"/>
        </w:rPr>
        <w:t>可以：复用 task source shell，structured persona 用作 full-persona bridge。</w:t>
      </w:r>
      <w:hyperlink r:id="rId17">
        <w:r>
          <w:rPr>
            <w:rFonts w:ascii="Calibri" w:hAnsi="Calibri" w:eastAsia="PingFang SC"/>
            <w:color w:val="2E74B5"/>
            <w:u w:val="single"/>
          </w:rPr>
          <w:t>[2]</w:t>
        </w:r>
      </w:hyperlink>
    </w:p>
    <w:p>
      <w:r>
        <w:rPr>
          <w:rFonts w:ascii="Calibri" w:hAnsi="Calibri" w:eastAsia="PingFang SC"/>
        </w:rPr>
        <w:t>不可以：把完整 persona 暴露给 Ask 主条件；把 simulated context 当真实 history；不经 task-conditioned human freeze 直接当新 gold。</w:t>
      </w:r>
    </w:p>
    <w:p>
      <w:pPr>
        <w:pStyle w:val="Heading1"/>
      </w:pPr>
      <w:r>
        <w:t>10. 排名反转怎样证明</w:t>
      </w:r>
    </w:p>
    <w:p>
      <w:r>
        <w:rPr>
          <w:rFonts w:ascii="Calibri" w:hAnsi="Calibri" w:eastAsia="PingFang SC"/>
        </w:rPr>
        <w:t>同一 DR tasks、agent version、工具、预算和时间窗下，报告：</w:t>
      </w:r>
    </w:p>
    <w:p>
      <w:pPr>
        <w:pStyle w:val="ListBullet"/>
      </w:pPr>
      <w:r>
        <w:rPr>
          <w:rFonts w:ascii="Calibri" w:hAnsi="Calibri" w:eastAsia="PingFang SC"/>
        </w:rPr>
        <w:t>PDR-style profile；</w:t>
      </w:r>
    </w:p>
    <w:p>
      <w:pPr>
        <w:pStyle w:val="ListBullet"/>
      </w:pPr>
      <w:r>
        <w:rPr>
          <w:rFonts w:ascii="Calibri" w:hAnsi="Calibri" w:eastAsia="PingFang SC"/>
        </w:rPr>
        <w:t>Ask profile；</w:t>
      </w:r>
    </w:p>
    <w:p>
      <w:pPr>
        <w:pStyle w:val="ListBullet"/>
      </w:pPr>
      <w:r>
        <w:rPr>
          <w:rFonts w:ascii="Calibri" w:hAnsi="Calibri" w:eastAsia="PingFang SC"/>
        </w:rPr>
        <w:t>Infer profile；</w:t>
      </w:r>
    </w:p>
    <w:p>
      <w:pPr>
        <w:pStyle w:val="ListBullet"/>
      </w:pPr>
      <w:r>
        <w:rPr>
          <w:rFonts w:ascii="Calibri" w:hAnsi="Calibri" w:eastAsia="PingFang SC"/>
        </w:rPr>
        <w:t xml:space="preserve">Kendall </w:t>
      </w:r>
      <w:r>
        <w:rPr>
          <w:rFonts w:ascii="Courier New" w:hAnsi="Courier New" w:eastAsia="PingFang SC"/>
          <w:color w:val="6A3E00"/>
          <w:sz w:val="20"/>
        </w:rPr>
        <w:t>τ</w:t>
      </w:r>
      <w:r>
        <w:rPr>
          <w:rFonts w:ascii="Calibri" w:hAnsi="Calibri" w:eastAsia="PingFang SC"/>
        </w:rPr>
        <w:t xml:space="preserve">、Spearman </w:t>
      </w:r>
      <w:r>
        <w:rPr>
          <w:rFonts w:ascii="Courier New" w:hAnsi="Courier New" w:eastAsia="PingFang SC"/>
          <w:color w:val="6A3E00"/>
          <w:sz w:val="20"/>
        </w:rPr>
        <w:t>ρ</w:t>
      </w:r>
      <w:r>
        <w:rPr>
          <w:rFonts w:ascii="Calibri" w:hAnsi="Calibri" w:eastAsia="PingFang SC"/>
        </w:rPr>
        <w:t>、pairwise inversion、family-cluster bootstrap。</w:t>
      </w:r>
    </w:p>
    <w:p>
      <w:r>
        <w:rPr>
          <w:rFonts w:ascii="Calibri" w:hAnsi="Calibri" w:eastAsia="PingFang SC"/>
        </w:rPr>
        <w:t>公开旧 leaderboard 不能与新运行直接做因果比较。无稳定 inversion 就撤回“排名反转”。</w:t>
      </w:r>
    </w:p>
    <w:p>
      <w:pPr>
        <w:pStyle w:val="Heading1"/>
      </w:pPr>
      <w:r>
        <w:t>11. 最小实验</w:t>
      </w:r>
    </w:p>
    <w:p>
      <w:r>
        <w:rPr>
          <w:rFonts w:ascii="Calibri" w:hAnsi="Calibri" w:eastAsia="PingFang SC"/>
        </w:rPr>
        <w:t xml:space="preserve">Novelty-kill pilot：6 个基础任务（每域 2）× 3 个 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 xml:space="preserve"> strata × 4 agent × A0/A1/A2 ≈ 216 Ask episodes；2 个 DR task 加 I0–I3。</w:t>
      </w:r>
    </w:p>
    <w:p>
      <w:r>
        <w:rPr>
          <w:rFonts w:ascii="Calibri" w:hAnsi="Calibri" w:eastAsia="PingFang SC"/>
        </w:rPr>
        <w:t>Pilot 只验证：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 xml:space="preserve"> 是否可复现、问题能否映射 nodes、Ask/Infer/final chain 是否跑通、已有 G-STEER/IDRBench 指标是否已解释全部现象。</w:t>
      </w:r>
      <w:hyperlink r:id="rId18">
        <w:r>
          <w:rPr>
            <w:rFonts w:ascii="Calibri" w:hAnsi="Calibri" w:eastAsia="PingFang SC"/>
            <w:color w:val="2E74B5"/>
            <w:u w:val="single"/>
          </w:rPr>
          <w:t>[3]</w:t>
        </w:r>
      </w:hyperlink>
      <w:hyperlink r:id="rId19">
        <w:r>
          <w:rPr>
            <w:rFonts w:ascii="Calibri" w:hAnsi="Calibri" w:eastAsia="PingFang SC"/>
            <w:color w:val="2E74B5"/>
            <w:u w:val="single"/>
          </w:rPr>
          <w:t>[4]</w:t>
        </w:r>
      </w:hyperlink>
    </w:p>
    <w:p>
      <w:r>
        <w:rPr>
          <w:rFonts w:ascii="Calibri" w:hAnsi="Calibri" w:eastAsia="PingFang SC"/>
        </w:rPr>
        <w:t>通过后才扩到 24 个独立基础任务。样本量由 family-level pilot 方差决定；seed 不能替代 family。</w:t>
      </w:r>
    </w:p>
    <w:p>
      <w:pPr>
        <w:pStyle w:val="Heading1"/>
      </w:pPr>
      <w:r>
        <w:t>12. 五个 Go / No-Go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 xml:space="preserve">人类能稳定区分 </w:t>
      </w:r>
      <w:r>
        <w:rPr>
          <w:rFonts w:ascii="Courier New" w:hAnsi="Courier New" w:eastAsia="PingFang SC"/>
          <w:color w:val="6A3E00"/>
          <w:sz w:val="20"/>
        </w:rPr>
        <w:t>δ=0 / low / high</w:t>
      </w:r>
      <w:r>
        <w:rPr>
          <w:rFonts w:ascii="Calibri" w:hAnsi="Calibri" w:eastAsia="PingFang SC"/>
        </w:rPr>
        <w:t>；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 xml:space="preserve">至少两个域出现非平凡 agent × 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 xml:space="preserve"> 差异；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Ask 收益不能由额外 token 完全解释；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Infer 能把 recoverable 与 unidentifiable 分开；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新 profile 暴露已有 target coverage / 通用质量解释不了的 failure 或系统重排。</w:t>
      </w:r>
    </w:p>
    <w:p>
      <w:r>
        <w:rPr>
          <w:rFonts w:ascii="Calibri" w:hAnsi="Calibri" w:eastAsia="PingFang SC"/>
        </w:rPr>
        <w:t>任一核心门失败，就收窄为 ask-calibration failure characterization 或透明诊断扩展，不包装成完整新 benchmark。</w:t>
      </w:r>
    </w:p>
    <w:p>
      <w:pPr>
        <w:pStyle w:val="Heading1"/>
      </w:pPr>
      <w:r>
        <w:t>13. 导师需要拍板</w:t>
      </w:r>
    </w:p>
    <w:p>
      <w:pPr>
        <w:numPr>
          <w:ilvl w:val="0"/>
          <w:numId w:val="13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是否接受 Ask 三域、Infer 只做 DR 的不对称范围？</w:t>
      </w:r>
    </w:p>
    <w:p>
      <w:pPr>
        <w:numPr>
          <w:ilvl w:val="0"/>
          <w:numId w:val="13"/>
        </w:numPr>
        <w:spacing w:after="80" w:line="290" w:lineRule="auto"/>
        <w:ind w:left="540" w:hanging="279"/>
      </w:pP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 xml:space="preserve"> 主分析是否只用 0/low/high 序数等级，连续量只作次级？</w:t>
      </w:r>
    </w:p>
    <w:p>
      <w:pPr>
        <w:numPr>
          <w:ilvl w:val="0"/>
          <w:numId w:val="13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是否接受 PDR task/persona 只作 bridge，而不直接当 Ask gold？</w:t>
      </w:r>
    </w:p>
    <w:p>
      <w:pPr>
        <w:numPr>
          <w:ilvl w:val="0"/>
          <w:numId w:val="13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先做 216-episode novelty-kill pilot，还是继续优先真人问卷建设？</w:t>
      </w:r>
    </w:p>
    <w:p>
      <w:pPr>
        <w:numPr>
          <w:ilvl w:val="0"/>
          <w:numId w:val="13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排名反转若不成立，是否接受论文改为 Ask Calibration 主线？</w:t>
      </w:r>
    </w:p>
    <w:p>
      <w:pPr>
        <w:pStyle w:val="Heading1"/>
      </w:pPr>
      <w:r>
        <w:t>参考文献</w:t>
      </w:r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4"/>
        </w:rPr>
        <w:t xml:space="preserve">[1] Liang et al. </w:t>
      </w:r>
      <w:r>
        <w:rPr>
          <w:rFonts w:ascii="Calibri" w:hAnsi="Calibri" w:eastAsia="PingFang SC"/>
          <w:i/>
          <w:sz w:val="14"/>
        </w:rPr>
        <w:t>Towards Personalized Deep Research: Benchmarks and Evaluations</w:t>
      </w:r>
      <w:r>
        <w:rPr>
          <w:rFonts w:ascii="Calibri" w:hAnsi="Calibri" w:eastAsia="PingFang SC"/>
          <w:sz w:val="14"/>
        </w:rPr>
        <w:t xml:space="preserve">. </w:t>
      </w:r>
      <w:hyperlink r:id="rId16">
        <w:r>
          <w:rPr>
            <w:rFonts w:ascii="Calibri" w:hAnsi="Calibri" w:eastAsia="PingFang SC"/>
            <w:color w:val="2E74B5"/>
            <w:u w:val="single"/>
            <w:sz w:val="15"/>
            <w:szCs w:val="15"/>
          </w:rPr>
          <w:t>https://arxiv.org/abs/2509.25106</w:t>
        </w:r>
      </w:hyperlink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4"/>
        </w:rPr>
        <w:t xml:space="preserve">[2] OPPO-PersonalAI. </w:t>
      </w:r>
      <w:r>
        <w:rPr>
          <w:rFonts w:ascii="Calibri" w:hAnsi="Calibri" w:eastAsia="PingFang SC"/>
          <w:i/>
          <w:sz w:val="14"/>
        </w:rPr>
        <w:t>PersonalizedDeepResearchBench official repository</w:t>
      </w:r>
      <w:r>
        <w:rPr>
          <w:rFonts w:ascii="Calibri" w:hAnsi="Calibri" w:eastAsia="PingFang SC"/>
          <w:sz w:val="14"/>
        </w:rPr>
        <w:t xml:space="preserve">. </w:t>
      </w:r>
      <w:hyperlink r:id="rId17">
        <w:r>
          <w:rPr>
            <w:rFonts w:ascii="Calibri" w:hAnsi="Calibri" w:eastAsia="PingFang SC"/>
            <w:color w:val="2E74B5"/>
            <w:u w:val="single"/>
            <w:sz w:val="15"/>
            <w:szCs w:val="15"/>
          </w:rPr>
          <w:t>https://github.com/OPPO-PersonalAI/PersonalizedDeepResearchBench</w:t>
        </w:r>
      </w:hyperlink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4"/>
        </w:rPr>
        <w:t xml:space="preserve">[3] Yoon and Lee. </w:t>
      </w:r>
      <w:r>
        <w:rPr>
          <w:rFonts w:ascii="Calibri" w:hAnsi="Calibri" w:eastAsia="PingFang SC"/>
          <w:i/>
          <w:sz w:val="14"/>
        </w:rPr>
        <w:t>Personalized Deep Research Query Refinement with Graph-Scaffolded Evidence Grounding</w:t>
      </w:r>
      <w:r>
        <w:rPr>
          <w:rFonts w:ascii="Calibri" w:hAnsi="Calibri" w:eastAsia="PingFang SC"/>
          <w:sz w:val="14"/>
        </w:rPr>
        <w:t xml:space="preserve">. </w:t>
      </w:r>
      <w:hyperlink r:id="rId18">
        <w:r>
          <w:rPr>
            <w:rFonts w:ascii="Calibri" w:hAnsi="Calibri" w:eastAsia="PingFang SC"/>
            <w:color w:val="2E74B5"/>
            <w:u w:val="single"/>
            <w:sz w:val="15"/>
            <w:szCs w:val="15"/>
          </w:rPr>
          <w:t>https://arxiv.org/abs/2608.05876</w:t>
        </w:r>
      </w:hyperlink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4"/>
        </w:rPr>
        <w:t xml:space="preserve">[4] Feng et al. </w:t>
      </w:r>
      <w:r>
        <w:rPr>
          <w:rFonts w:ascii="Calibri" w:hAnsi="Calibri" w:eastAsia="PingFang SC"/>
          <w:i/>
          <w:sz w:val="14"/>
        </w:rPr>
        <w:t>IDRBench: Interactive Deep Research Benchmark</w:t>
      </w:r>
      <w:r>
        <w:rPr>
          <w:rFonts w:ascii="Calibri" w:hAnsi="Calibri" w:eastAsia="PingFang SC"/>
          <w:sz w:val="14"/>
        </w:rPr>
        <w:t xml:space="preserve">. </w:t>
      </w:r>
      <w:hyperlink r:id="rId19">
        <w:r>
          <w:rPr>
            <w:rFonts w:ascii="Calibri" w:hAnsi="Calibri" w:eastAsia="PingFang SC"/>
            <w:color w:val="2E74B5"/>
            <w:u w:val="single"/>
            <w:sz w:val="15"/>
            <w:szCs w:val="15"/>
          </w:rPr>
          <w:t>https://arxiv.org/abs/2601.06676</w:t>
        </w:r>
      </w:hyperlink>
    </w:p>
    <w:sectPr w:rsidR="00FC693F" w:rsidRPr="0006063C" w:rsidSect="00034616">
      <w:headerReference w:type="default" r:id="rId14"/>
      <w:footerReference w:type="default" r:id="rId15"/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/>
    <w:r>
      <w:rPr>
        <w:rFonts w:ascii="Calibri" w:hAnsi="Calibri" w:eastAsia="PingFang SC"/>
        <w:color w:val="5B6B7A"/>
        <w:sz w:val="18"/>
      </w:rPr>
      <w:t xml:space="preserve">2026-8-24   ·   </w:t>
    </w:r>
    <w:r>
      <w:rPr>
        <w:rFonts w:ascii="Calibri" w:hAnsi="Calibri" w:eastAsia="PingFang SC"/>
        <w:color w:val="5B6B7A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/>
    <w:r>
      <w:rPr>
        <w:rFonts w:ascii="Calibri" w:hAnsi="Calibri" w:eastAsia="PingFang SC"/>
        <w:color w:val="5B6B7A"/>
        <w:sz w:val="18"/>
      </w:rPr>
      <w:t xml:space="preserve">2026-8-24   ·   </w:t>
    </w:r>
    <w:r>
      <w:rPr>
        <w:rFonts w:ascii="Calibri" w:hAnsi="Calibri" w:eastAsia="PingFang SC"/>
        <w:color w:val="5B6B7A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/>
    <w:r>
      <w:rPr>
        <w:rFonts w:ascii="Calibri" w:hAnsi="Calibri" w:eastAsia="PingFang SC"/>
        <w:color w:val="5B6B7A"/>
        <w:sz w:val="18"/>
      </w:rPr>
      <w:t xml:space="preserve">2026-8-24   ·   </w:t>
    </w:r>
    <w:r>
      <w:rPr>
        <w:rFonts w:ascii="Calibri" w:hAnsi="Calibri" w:eastAsia="PingFang SC"/>
        <w:color w:val="5B6B7A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PingFang SC"/>
        <w:b/>
        <w:color w:val="5B6B7A"/>
        <w:sz w:val="17"/>
      </w:rPr>
      <w:t>ASK OR INFER?  ·  汇报精简版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PingFang SC"/>
        <w:b/>
        <w:color w:val="5B6B7A"/>
        <w:sz w:val="17"/>
      </w:rPr>
      <w:t>ASK OR INFER?  ·  汇报精简版</w:t>
    </w: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PingFang SC"/>
        <w:b/>
        <w:color w:val="5B6B7A"/>
        <w:sz w:val="17"/>
      </w:rPr>
      <w:t>ASK OR INFER?  ·  汇报精简版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0"/>
    <w:lvlOverride w:ilvl="0">
      <w:startOverride w:val="1"/>
    </w:lvlOverride>
  </w:num>
  <w:num w:numId="11">
    <w:abstractNumId w:val="0"/>
    <w:lvlOverride w:ilvl="0">
      <w:startOverride w:val="1"/>
    </w:lvlOverride>
  </w:num>
  <w:num w:numId="12">
    <w:abstractNumId w:val="0"/>
    <w:lvlOverride w:ilvl="0">
      <w:startOverride w:val="1"/>
    </w:lvlOverride>
  </w:num>
  <w:num w:numId="1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50" w:line="252" w:lineRule="auto"/>
      <w:jc w:val="left"/>
    </w:pPr>
    <w:rPr>
      <w:rFonts w:ascii="Calibri" w:hAnsi="Calibri" w:eastAsia="PingFang SC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40"/>
      <w:outlineLvl w:val="0"/>
    </w:pPr>
    <w:rPr>
      <w:rFonts w:asciiTheme="majorHAnsi" w:eastAsiaTheme="majorEastAsia" w:hAnsiTheme="majorHAnsi" w:cstheme="majorBidi" w:ascii="Calibri" w:hAnsi="Calibri" w:eastAsia="Hiragino Sans GB"/>
      <w:b w:val="0"/>
      <w:bCs/>
      <w:color w:val="2E74B5"/>
      <w:sz w:val="31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Calibri" w:hAnsi="Calibri" w:eastAsia="Hiragino Sans GB"/>
      <w:b w:val="0"/>
      <w:bCs/>
      <w:color w:val="2E74B5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40" w:after="80"/>
      <w:outlineLvl w:val="2"/>
    </w:pPr>
    <w:rPr>
      <w:rFonts w:asciiTheme="majorHAnsi" w:eastAsiaTheme="majorEastAsia" w:hAnsiTheme="majorHAnsi" w:cstheme="majorBidi" w:ascii="Calibri" w:hAnsi="Calibri" w:eastAsia="Hiragino Sans GB"/>
      <w:b w:val="0"/>
      <w:bCs/>
      <w:color w:val="163A63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 w:line="259" w:lineRule="auto"/>
      <w:ind w:left="540" w:hanging="279"/>
      <w:contextualSpacing/>
    </w:pPr>
    <w:rPr>
      <w:rFonts w:ascii="Calibri" w:hAnsi="Calibri" w:eastAsia="PingFang SC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 w:line="259" w:lineRule="auto"/>
      <w:ind w:left="540" w:hanging="279"/>
      <w:contextualSpacing/>
    </w:pPr>
    <w:rPr>
      <w:rFonts w:ascii="Calibri" w:hAnsi="Calibri" w:eastAsia="PingFang SC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image" Target="media/image1.png"/><Relationship Id="rId14" Type="http://schemas.openxmlformats.org/officeDocument/2006/relationships/header" Target="header3.xml"/><Relationship Id="rId15" Type="http://schemas.openxmlformats.org/officeDocument/2006/relationships/footer" Target="footer3.xml"/><Relationship Id="rId16" Type="http://schemas.openxmlformats.org/officeDocument/2006/relationships/hyperlink" Target="https://arxiv.org/abs/2509.25106" TargetMode="External"/><Relationship Id="rId17" Type="http://schemas.openxmlformats.org/officeDocument/2006/relationships/hyperlink" Target="https://github.com/OPPO-PersonalAI/PersonalizedDeepResearchBench" TargetMode="External"/><Relationship Id="rId18" Type="http://schemas.openxmlformats.org/officeDocument/2006/relationships/hyperlink" Target="https://arxiv.org/abs/2608.05876" TargetMode="External"/><Relationship Id="rId19" Type="http://schemas.openxmlformats.org/officeDocument/2006/relationships/hyperlink" Target="https://arxiv.org/abs/2601.0667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