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v0.13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同一项研究任务，面对知识水平、决策目标、资源约束、风险偏好和交付场景不同的用户，理想交付物应在证据不变的前提下产生可解释、必要且有用的差异。当前评测大多只看事实性、覆盖度和引用质量；已有 Personalized Deep Research Bench（PDR-Bench）首次把真实 persona 引入深度调研，但其任务规模、用户信息来源、交付物类型和 agent 类型仍有限，而且由 LLM 同时动态生成 rubric、权重并评分，难以排除循环定义、风格偏好和“提供更多文字自然得更高分”等替代解释。</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wp:cNvGraphicFramePr>
              <a:graphicFrameLocks noChangeAspect="1"/>
            </wp:cNvGraphicFramePr>
            <a:graphic>
              <a:graphicData uri="http://schemas.openxmlformats.org/drawingml/2006/picture">
                <pic:pic>
                  <pic:nvPicPr>
                    <pic:cNvPr id="0" name="DeepAlign-Bench_主图.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以及级联评估：规则先处理可确定样本，复杂边界样本再交给模型评委。其关键价值是模型—数据笛卡尔积的任务化、可重试并行执行、统一后处理与结果聚合，而不是提出新的个性化构念。[1]</w:t>
      </w:r>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等模式。[2]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91.5%。[3]</w:t>
      </w:r>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Fit、Actionability；可靠性由事实准确率与引用覆盖率组成。[4]</w:t>
      </w:r>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。[5]</w:t>
      </w:r>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个领域，采用自适应报告质量标准并分开评估引用有效性与准确性；说明深度调研需要“内容质量”和“检索证据”双轨评分。[6]</w:t>
      </w:r>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同时评估答案正确性与来源归因；说明复杂任务应拆成可追踪的证据树。[7]</w:t>
      </w:r>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只能作为生态有效性轨。[8]</w:t>
      </w:r>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与“评委也要被考试”。[9]</w:t>
      </w:r>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等），说明直接复制自然语言类别会产生边界重叠与计数不一致；本项目因此合并为较稳定的上位意图，并公开映射表。[10]</w:t>
      </w:r>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应并存。[11]</w:t>
      </w:r>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avoidance、事实性和报告质量评分；说明用户信息和任务证据在真实环境中经常来自私有空间。[12]</w:t>
      </w:r>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过拟合。[13]</w:t>
      </w:r>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仍需交换增强、参考答案和对抗集处理。[14][15]</w:t>
      </w:r>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为金标准。[16]</w:t>
      </w:r>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与推理结构才是更可比较的需求属性。[17]</w:t>
      </w:r>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daily”二分标签。[18]</w:t>
      </w:r>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fan-out、动态约束与复杂验证链。[19][20]</w:t>
      </w:r>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taxonomy。[21]</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类别：[23]</w:t>
      </w:r>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先系统枚举场景与指标空间，再基于覆盖和可行性选择子集并明确缺口；这正适合本项目的两个月约束。[22]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对目标、方法、来源与限制的标准化，也支持把元数据、覆盖声明和版本记录纳入主贡献而非附录。[24][25]</w:t>
      </w:r>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泛化、成本和延迟。[14][15][16]</w:t>
      </w:r>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shuffled（错配用户，负对照）；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arXiv:2605.19276, 2026. https://arxiv.org/abs/2605.19276</w:t>
      </w:r>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https://evalscope.readthedocs.io/en/refact_readme/get_started/introduction.html</w:t>
      </w:r>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arXiv:2412.14470, 2024/2025. https://arxiv.org/abs/2412.14470</w:t>
      </w:r>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arXiv:2509.25106; ICLR 2026. https://arxiv.org/abs/2509.25106</w:t>
      </w:r>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https://macaron.im/mindlab/research/macaron-v1-preview</w:t>
      </w:r>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arXiv:2506.11763. https://arxiv.org/abs/2506.11763</w:t>
      </w:r>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arXiv:2506.21506. https://arxiv.org/abs/2506.21506</w:t>
      </w:r>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arXiv:2508.06600. https://arxiv.org/abs/2508.06600</w:t>
      </w:r>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OpenAI, 2025. https://openai.com/index/paperbench/</w:t>
      </w:r>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https://livedeepresearch.github.io/</w:t>
      </w:r>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arXiv:2505.19253. https://arxiv.org/abs/2505.19253</w:t>
      </w:r>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arXiv:2510.00172; ICLR 2026. https://arxiv.org/abs/2510.00172</w:t>
      </w:r>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ICLR 2025. https://livebench.ai/</w:t>
      </w:r>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arXiv:2310.17631, 2023. https://arxiv.org/abs/2310.17631</w:t>
      </w:r>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arXiv:2405.01535, 2024. https://arxiv.org/abs/2405.01535</w:t>
      </w:r>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arXiv:2403.02839, 2024. https://arxiv.org/abs/2403.02839</w:t>
      </w:r>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arXiv:2508.04183; ICLR 2026. https://arxiv.org/abs/2508.04183</w:t>
      </w:r>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arXiv:2511.07685; ICLR 2026. https://arxiv.org/abs/2511.07685</w:t>
      </w:r>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https://arxiv.org/abs/2407.15711</w:t>
      </w:r>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arXiv:2402.17896, 2024. https://arxiv.org/abs/2402.17896</w:t>
      </w:r>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arXiv:2507.16280, 2025. https://arxiv.org/abs/2507.16280</w:t>
      </w:r>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TMLR, 2023. https://arxiv.org/abs/2211.09110</w:t>
      </w:r>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ACL, 2020. https://aclanthology.org/2020.acl-main.442/</w:t>
      </w:r>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arXiv:2411.12990, 2024. https://arxiv.org/abs/2411.12990</w:t>
      </w:r>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NeurIPS Datasets and Benchmarks, 2025. https://papers.neurips.cc/paper_files/paper/2025/hash/76175f4355e2f67cf91be468c8860070-Abstract-Datasets_and_Benchmarks_Track.html</w:t>
      </w:r>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PingFang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PingFang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PingFang SC"/>
      <w:b/>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