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分钟讲清研究问题、方法、实验与两个月范围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v0.28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8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问题 → 数据 → 实验 → 评分 → 风险 → 决策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从 absolute adaptation evaluation 转向 counterfactual personalization effect identification：测同一任务下哪份结果更适合哪位用户。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评测对象与核心反事实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Task 与 Persona 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核心实验矩阵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结果/过程边界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论文贡献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八周安排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导师决策与主要风险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分钟数据、4 分钟实验与指标、3 分钟 Judge、3 分钟风险和导师决策。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已有工作已经测到用户理解、历史利用、工具行动、动态记忆和个性化 Deep Research。我们要补的不是又一块能力，而是一个结果识别问题：</w:t>
      </w:r>
      <w:r>
        <w:rPr>
          <w:rFonts w:ascii="Calibri" w:hAnsi="Calibri" w:eastAsia="PingFang SC"/>
          <w:b/>
        </w:rPr>
        <w:t>同一任务和证据下，agent 能不能为不同用户交付不同但都正确、且各自更适合目标用户的 Deep Research 结果。</w:t>
      </w:r>
    </w:p>
    <w:p>
      <w:pPr>
        <w:pStyle w:val="Heading2"/>
      </w:pPr>
      <w:r>
        <w:t>为什么需要新的 benchmark</w:t>
      </w:r>
    </w:p>
    <w:p>
      <w:r>
        <w:rPr>
          <w:rFonts w:ascii="Calibri" w:hAnsi="Calibri" w:eastAsia="PingFang SC"/>
        </w:rPr>
        <w:t>个性化评价已经经历三步。第一，Setoka、PersonaTrail/APeB 证明 agent 的用户信号可以来自异构记录、浏览轨迹与行为历史；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[9]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[11]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r>
        <w:rPr>
          <w:rFonts w:ascii="Calibri" w:hAnsi="Calibri" w:eastAsia="PingFang SC"/>
        </w:rPr>
        <w:t xml:space="preserve"> 第二，ETAPP 与 Mem2ActBench 已把这些信号落实到工具选择和参数，PAHF 还加入澄清、反馈和偏好漂移。</w:t>
      </w:r>
      <w:hyperlink r:id="rId14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r>
        <w:rPr>
          <w:rFonts w:ascii="Calibri" w:hAnsi="Calibri" w:eastAsia="PingFang SC"/>
        </w:rPr>
        <w:t xml:space="preserve"> 第三，PDR-Bench 和另一项 PDR 工作已经进入个性化 Deep Research；MyScholarQA 则发现合成用户与 LLM judge 会漏掉真人指出的细微错误。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[17]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r>
        <w:rPr>
          <w:rFonts w:ascii="Calibri" w:hAnsi="Calibri" w:eastAsia="PingFang SC"/>
        </w:rPr>
        <w:t xml:space="preserve"> PDR-Bench 的 task/persona-conditioned P-Score 已经能够评价给定用户条件下的报告适配质量。</w:t>
      </w:r>
    </w:p>
    <w:p>
      <w:r>
        <w:rPr>
          <w:rFonts w:ascii="Calibri" w:hAnsi="Calibri" w:eastAsia="PingFang SC"/>
        </w:rPr>
        <w:t xml:space="preserve">因此，DeepAlign 的创新不是把 PDR-Bench 的 rubric 做得更细，而是把估计对象从 </w:t>
      </w:r>
      <w:r>
        <w:rPr>
          <w:rFonts w:ascii="Calibri" w:hAnsi="Calibri" w:eastAsia="PingFang SC"/>
          <w:b/>
        </w:rPr>
        <w:t>absolute adaptation evaluation</w:t>
      </w:r>
      <w:r>
        <w:rPr>
          <w:rFonts w:ascii="Calibri" w:hAnsi="Calibri" w:eastAsia="PingFang SC"/>
        </w:rPr>
        <w:t xml:space="preserve"> 改为 </w:t>
      </w:r>
      <w:r>
        <w:rPr>
          <w:rFonts w:ascii="Calibri" w:hAnsi="Calibri" w:eastAsia="PingFang SC"/>
          <w:b/>
        </w:rPr>
        <w:t>counterfactual personalization effect identification</w:t>
      </w:r>
      <w:r>
        <w:rPr>
          <w:rFonts w:ascii="Calibri" w:hAnsi="Calibri" w:eastAsia="PingFang SC"/>
        </w:rPr>
        <w:t>：固定任务、证据、工具和预算，只交换两个都合理的用户；让两套用户 rubric 交叉评价两份交付物，并用预冻结 must-change / must-hold / must-not 检查必要变化、共同不变项和禁止过度推断。PDR 的 judge 仍有可靠性边界：最佳 PCA=0.43，校准只有 15 个 query/两个 agent，且动态 criterion、非 target-user 人评、复合事实核验链和 P/Q/R 补偿式聚合均需额外审计。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</w:p>
    <w:p>
      <w:r>
        <w:rPr>
          <w:rFonts w:ascii="Calibri" w:hAnsi="Calibri" w:eastAsia="PingFang SC"/>
        </w:rPr>
        <w:t>因此我们采用反事实对照：固定任务、证据、工具和预算，只改变用户；再把两个用户的交付物交换评分。只有 matched 持续优于 swapped，同时事实和共同质量不下降，才支持“交付物对目标用户具有反事实特异性”。这不证明模型内部真正理解了用户；还需让同一 user-state 以 persona、自然历史、澄清对话和去关键词改写表达，检查核心结论是否稳定。不同 persona cue 会改变测量结论，</w:t>
      </w:r>
      <w:hyperlink r:id="rId20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r>
        <w:rPr>
          <w:rFonts w:ascii="Calibri" w:hAnsi="Calibri" w:eastAsia="PingFang SC"/>
        </w:rPr>
        <w:t xml:space="preserve"> 个性化 rubric 也应同时检查代表性、一致性和区分力。</w:t>
      </w:r>
      <w:hyperlink r:id="rId21">
        <w:r>
          <w:rPr>
            <w:rFonts w:ascii="Calibri" w:hAnsi="Calibri" w:eastAsia="PingFang SC"/>
            <w:color w:val="2E74B5"/>
            <w:u w:val="single"/>
          </w:rPr>
          <w:t>[22]</w:t>
        </w:r>
      </w:hyperlink>
    </w:p>
    <w:p>
      <w:pPr>
        <w:pStyle w:val="Heading2"/>
      </w:pPr>
      <w:r>
        <w:t>两个月交付范围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项目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锁定规模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Task family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 个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核心 user-task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48 个，两个强对比用户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用户信息条件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 种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核心 agent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3 类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核心运行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最多 576 episodes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压力测试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8 个 anchor family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JudgeBench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240 个判分单元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人评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至少 20% 输出；专家评事实，目标用户评 matched/swapped；加关键失败仲裁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固定任务与证据，只改变用户；先过共同质量门槛，再用 matched/swapped 识别结果特异性。</w:t>
      </w:r>
    </w:p>
    <w:p>
      <w:pPr>
        <w:sectPr>
          <w:headerReference w:type="default" r:id="rId22"/>
          <w:footerReference w:type="default" r:id="rId2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论文要测的对象</w:t>
      </w:r>
    </w:p>
    <w:p>
      <w:r>
        <w:rPr>
          <w:rFonts w:ascii="Calibri" w:hAnsi="Calibri" w:eastAsia="PingFang SC"/>
        </w:rPr>
        <w:t>一个 case 由五组元数据定义：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</w:t>
      </w:r>
      <w:r>
        <w:rPr>
          <w:rFonts w:ascii="Calibri" w:hAnsi="Calibri" w:eastAsia="PingFang SC"/>
        </w:rPr>
        <w:t>：使用情境、研究意图、领域、交付物和任务强度；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</w:t>
      </w:r>
      <w:r>
        <w:rPr>
          <w:rFonts w:ascii="Calibri" w:hAnsi="Calibri" w:eastAsia="PingFang SC"/>
        </w:rPr>
        <w:t>：证据、时效、工具、预算和权限；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 State</w:t>
      </w:r>
      <w:r>
        <w:rPr>
          <w:rFonts w:ascii="Calibri" w:hAnsi="Calibri" w:eastAsia="PingFang SC"/>
        </w:rPr>
        <w:t>：目标、知识、约束、偏好、风险、受众和动态状态；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Signal Channel</w:t>
      </w:r>
      <w:r>
        <w:rPr>
          <w:rFonts w:ascii="Calibri" w:hAnsi="Calibri" w:eastAsia="PingFang SC"/>
        </w:rPr>
        <w:t>：persona、对话、澄清、历史、行为、工作区和反馈；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</w:t>
      </w:r>
      <w:r>
        <w:rPr>
          <w:rFonts w:ascii="Calibri" w:hAnsi="Calibri" w:eastAsia="PingFang SC"/>
        </w:rPr>
        <w:t>：模型版本、搜索、记忆、规划、多 agent 和工具。</w:t>
      </w:r>
    </w:p>
    <w:p>
      <w:r>
        <w:rPr>
          <w:rFonts w:ascii="Calibri" w:hAnsi="Calibri" w:eastAsia="PingFang SC"/>
        </w:rPr>
        <w:t>这五组信息组成 Evaluation Atlas。它定义完整可测试空间，但不承诺首版跑完所有组合。</w:t>
      </w:r>
    </w:p>
    <w:p>
      <w:pPr>
        <w:pStyle w:val="Heading2"/>
      </w:pPr>
      <w:r>
        <w:t>四种行为测试</w:t>
      </w:r>
    </w:p>
    <w:p>
      <w:pPr>
        <w:pStyle w:val="ListBullet"/>
      </w:pPr>
      <w:r>
        <w:rPr>
          <w:rFonts w:ascii="Calibri" w:hAnsi="Calibri" w:eastAsia="PingFang SC"/>
        </w:rPr>
        <w:t>Acquire：缺信息时会不会正确澄清；</w:t>
      </w:r>
    </w:p>
    <w:p>
      <w:pPr>
        <w:pStyle w:val="ListBullet"/>
      </w:pPr>
      <w:r>
        <w:rPr>
          <w:rFonts w:ascii="Calibri" w:hAnsi="Calibri" w:eastAsia="PingFang SC"/>
        </w:rPr>
        <w:t>Preserve：长任务和交接后会不会忘记；</w:t>
      </w:r>
    </w:p>
    <w:p>
      <w:pPr>
        <w:pStyle w:val="ListBullet"/>
      </w:pPr>
      <w:r>
        <w:rPr>
          <w:rFonts w:ascii="Calibri" w:hAnsi="Calibri" w:eastAsia="PingFang SC"/>
        </w:rPr>
        <w:t>Use：是否把用户信息落实到结果；</w:t>
      </w:r>
    </w:p>
    <w:p>
      <w:pPr>
        <w:pStyle w:val="ListBullet"/>
      </w:pPr>
      <w:r>
        <w:rPr>
          <w:rFonts w:ascii="Calibri" w:hAnsi="Calibri" w:eastAsia="PingFang SC"/>
        </w:rPr>
        <w:t>Update：用户状态按任务脚本变化后，能否采用当前真值并停止使用旧状态。</w:t>
      </w:r>
    </w:p>
    <w:p>
      <w:pPr>
        <w:pStyle w:val="Heading1"/>
      </w:pPr>
      <w:r>
        <w:t>2. Task 和 Persona 怎么构建</w:t>
      </w:r>
    </w:p>
    <w:p>
      <w:pPr>
        <w:pStyle w:val="Heading2"/>
      </w:pPr>
      <w:r>
        <w:t>Task 覆盖</w:t>
      </w:r>
    </w:p>
    <w:p>
      <w:r>
        <w:rPr>
          <w:rFonts w:ascii="Calibri" w:hAnsi="Calibri" w:eastAsia="PingFang SC"/>
        </w:rPr>
        <w:t xml:space="preserve">任务采用 </w:t>
      </w:r>
      <w:r>
        <w:rPr>
          <w:rFonts w:ascii="Courier New" w:hAnsi="Courier New" w:eastAsia="PingFang SC"/>
          <w:color w:val="6A3E00"/>
          <w:sz w:val="20"/>
        </w:rPr>
        <w:t>使用情境 × 研究意图 × 任务强度</w:t>
      </w:r>
      <w:r>
        <w:rPr>
          <w:rFonts w:ascii="Calibri" w:hAnsi="Calibri" w:eastAsia="PingFang SC"/>
        </w:rPr>
        <w:t>：</w:t>
      </w:r>
    </w:p>
    <w:p>
      <w:pPr>
        <w:pStyle w:val="ListBullet"/>
      </w:pPr>
      <w:r>
        <w:rPr>
          <w:rFonts w:ascii="Calibri" w:hAnsi="Calibri" w:eastAsia="PingFang SC"/>
        </w:rPr>
        <w:t>使用情境：个人日常、专业企业、学术前沿；</w:t>
      </w:r>
    </w:p>
    <w:p>
      <w:pPr>
        <w:pStyle w:val="ListBullet"/>
      </w:pPr>
      <w:r>
        <w:rPr>
          <w:rFonts w:ascii="Calibri" w:hAnsi="Calibri" w:eastAsia="PingFang SC"/>
        </w:rPr>
        <w:t>研究意图：理解、发现、决策、预测、规划、审计；</w:t>
      </w:r>
    </w:p>
    <w:p>
      <w:pPr>
        <w:pStyle w:val="ListBullet"/>
      </w:pPr>
      <w:r>
        <w:rPr>
          <w:rFonts w:ascii="Calibri" w:hAnsi="Calibri" w:eastAsia="PingFang SC"/>
        </w:rPr>
        <w:t>任务强度：概念广度、逻辑层数、探索性、搜索 fan-out、时效和风险。</w:t>
      </w:r>
    </w:p>
    <w:p>
      <w:r>
        <w:rPr>
          <w:rFonts w:ascii="Calibri" w:hAnsi="Calibri" w:eastAsia="PingFang SC"/>
        </w:rPr>
        <w:t>18 个 family 覆盖 3×6 主单元，6 个 family 复测关键单元，共 24 个。</w:t>
      </w:r>
    </w:p>
    <w:p>
      <w:r>
        <w:rPr>
          <w:rFonts w:ascii="Calibri" w:hAnsi="Calibri" w:eastAsia="PingFang SC"/>
        </w:rPr>
        <w:t>每个 family 的构造顺序固定为：真实需求 seed → 冻结共同 task/evidence/deliverable → 标注任务坐标 → 设置难度旋钮 → 配两个都自然的用户 → 冻结差异契约 → matched/swapped pilot。Family 是受控实验蓝图，不是“旅行类”这样的主题标签。</w:t>
      </w:r>
    </w:p>
    <w:p>
      <w:pPr>
        <w:pStyle w:val="Heading2"/>
      </w:pPr>
      <w:r>
        <w:t>Persona 原则</w:t>
      </w:r>
    </w:p>
    <w:p>
      <w:r>
        <w:rPr>
          <w:rFonts w:ascii="Calibri" w:hAnsi="Calibri" w:eastAsia="PingFang SC"/>
        </w:rPr>
        <w:t>Persona 不是人物小传，而是 task-conditioned user state 的一种展示。每组 persona-task 必须通过六项检查：场景真实、会影响决策、用户间可区分、存在共同核心、信息最少且隐私可控、不依赖刻板印象。</w:t>
      </w:r>
    </w:p>
    <w:p>
      <w:r>
        <w:rPr>
          <w:rFonts w:ascii="Calibri" w:hAnsi="Calibri" w:eastAsia="PingFang SC"/>
        </w:rPr>
        <w:t>实操采用：真实 source record → task-relevant axes → Ua/Ub 共享核心 → 只改 2–3 个决策相关字段 → fact-to-contract map → 从同一 ledger 编译 persona/history/clarification → wrong-user/irrelevant/stale 负对照 → 原用户、相似用户、专家验证。</w:t>
      </w:r>
    </w:p>
    <w:p>
      <w:r>
        <w:rPr>
          <w:rFonts w:ascii="Calibri" w:hAnsi="Calibri" w:eastAsia="PingFang SC"/>
        </w:rPr>
        <w:t>每个 user-task 都在运行前建立真值包：共同要求、用户特异要求、禁止事项、可接受替代、关键证据、严重错误封顶、预期澄清点、matched/swapped 的差异预测。</w:t>
      </w:r>
    </w:p>
    <w:p>
      <w:pPr>
        <w:pStyle w:val="Heading1"/>
      </w:pPr>
      <w:r>
        <w:t>3. 核心实验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task families × 2 users × 4 signal conditions × 3 agents</w:t>
        <w:br/>
        <w:t>= 最多 576 core episodes</w:t>
      </w:r>
    </w:p>
    <w:p>
      <w:r>
        <w:rPr>
          <w:rFonts w:ascii="Calibri" w:hAnsi="Calibri" w:eastAsia="PingFang SC"/>
        </w:rPr>
        <w:t>四种信号条件：task-only、structured persona、语义等价自然历史、clarification-allowed。</w:t>
      </w:r>
    </w:p>
    <w:p>
      <w:r>
        <w:rPr>
          <w:rFonts w:ascii="Calibri" w:hAnsi="Calibri" w:eastAsia="PingFang SC"/>
        </w:rPr>
        <w:t>三类核心 agent：M1 商业 Deep Research、M2 统一搜索/工具 harness、M3 可复现开源 DRA；code、multi-agent、memory-enhanced 只作适用 anchor 的架构 probe。</w:t>
      </w:r>
    </w:p>
    <w:p>
      <w:r>
        <w:rPr>
          <w:rFonts w:ascii="Calibri" w:hAnsi="Calibri" w:eastAsia="PingFang SC"/>
        </w:rPr>
        <w:t>8 个 anchor family 是压力测试宿主，不是 8 种 persona。流程是：先让两个用户都与 task 合理匹配，建立 clean matched/swapped 真值；再固定目标用户、task、证据和预算，只改变可见 persona、上下文位置、交接摘要或更新时间。</w:t>
      </w:r>
    </w:p>
    <w:p>
      <w:r>
        <w:rPr>
          <w:rFonts w:ascii="Calibri" w:hAnsi="Calibri" w:eastAsia="PingFang SC"/>
        </w:rPr>
        <w:t>8 个 anchor 固定覆盖日常决策、学习职业、金融信息、健康信息、企业采购/合规、软件生产、学术前沿、政策传播。所有 anchor 都有 clean + persona swap + irrelevant-signal 配对；其他 failure mode 用平衡不完全区组分配，每类至少落到两个 anchor。</w:t>
      </w:r>
    </w:p>
    <w:p>
      <w:r>
        <w:rPr>
          <w:rFonts w:ascii="Calibri" w:hAnsi="Calibri" w:eastAsia="PingFang SC"/>
        </w:rPr>
        <w:t xml:space="preserve">每个 anchor 跑 </w:t>
      </w:r>
      <w:r>
        <w:rPr>
          <w:rFonts w:ascii="Courier New" w:hAnsi="Courier New" w:eastAsia="PingFang SC"/>
          <w:color w:val="6A3E00"/>
          <w:sz w:val="20"/>
        </w:rPr>
        <w:t>S0 clean → S1 单轻扰动 → S2 单强扰动 → S3 复合扰动</w:t>
      </w:r>
      <w:r>
        <w:rPr>
          <w:rFonts w:ascii="Calibri" w:hAnsi="Calibri" w:eastAsia="PingFang SC"/>
        </w:rPr>
        <w:t>。难度由 evidence、signal、horizon、handoff、permission、counterfactual subtlety 六维记录；risk、failure mode 和强度不合并成一个分数。</w:t>
      </w:r>
    </w:p>
    <w:p>
      <w:r>
        <w:rPr>
          <w:rFonts w:ascii="Calibri" w:hAnsi="Calibri" w:eastAsia="PingFang SC"/>
        </w:rPr>
        <w:t>指标：ΔPF / invariance、冲突解析率、PF retention/AUC、handoff loss、update correctness 和旧状态残留率；同时报告 TQ、事实性、隐私和长度副作用。</w:t>
      </w:r>
    </w:p>
    <w:p>
      <w:r>
        <w:rPr>
          <w:rFonts w:ascii="Calibri" w:hAnsi="Calibri" w:eastAsia="PingFang SC"/>
        </w:rPr>
        <w:t>三类运行环境实操为：E1 Frozen Harness 使用只读快照和统一预算，形成因果主榜；E2 Live Product/Web 使用原生工具并记录版本、日期、地区和 URL 快照，形成产品榜；E3 Stateful Sandbox 在固定 checkpoint 注入冲突、handoff 和动态更新，形成压力与机制榜。它们与 agent 类型正交，需统一 reset/signal/checkpoint/event/artifact/trace adapter。</w:t>
      </w:r>
    </w:p>
    <w:p>
      <w:pPr>
        <w:pStyle w:val="Heading1"/>
      </w:pPr>
      <w:r>
        <w:t>4. Rubric 和 Metrics</w:t>
      </w:r>
    </w:p>
    <w:p>
      <w:pPr>
        <w:pStyle w:val="Heading2"/>
      </w:pPr>
      <w:r>
        <w:t>Metadata-driven Rubric Compiler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case metadata + user ledger + contracts + evidence/permission</w:t>
        <w:br/>
        <w:t>→ 选择 Core / Personalization / Intent / Deliverable / Operator / Risk 模板</w:t>
        <w:br/>
        <w:t>→ 填入 case 参数 → leaf expansion → 校验 → 冻结 rubric bundle</w:t>
      </w:r>
    </w:p>
    <w:p>
      <w:r>
        <w:rPr>
          <w:rFonts w:ascii="Calibri" w:hAnsi="Calibri" w:eastAsia="PingFang SC"/>
        </w:rPr>
        <w:t>有四个机器可读对象：case schema、固定模板 registry、固定 leaf schema、metric binding schema。模板路由随元数据变化：六类 research intent 各有模板；report / memo / workbook / code / slides / webpage / multi-file 各有交付物模板；stakes、permission、operator 再激活风险与压力模板。统一的是 leaf 格式、适用条件和聚合规则，不是让不同任务共用一张表。</w:t>
      </w:r>
    </w:p>
    <w:p>
      <w:r>
        <w:rPr>
          <w:rFonts w:ascii="Calibri" w:hAnsi="Calibri" w:eastAsia="PingFang SC"/>
          <w:b/>
        </w:rPr>
        <w:t>当前成熟度：</w:t>
      </w:r>
      <w:r>
        <w:rPr>
          <w:rFonts w:ascii="Calibri" w:hAnsi="Calibri" w:eastAsia="PingFang SC"/>
        </w:rPr>
        <w:t>v0.28 已冻结 compiler contract 和端到端示例；自动 validator、模板路由器和 bundle 导出器是第 1 周工程任务。今晚确认的是方法接口与标注可行性，不把 schema 文件说成已经完成的生产系统。</w:t>
      </w:r>
    </w:p>
    <w:p>
      <w:r>
        <w:rPr>
          <w:rFonts w:ascii="Calibri" w:hAnsi="Calibri" w:eastAsia="PingFang SC"/>
          <w:b/>
        </w:rPr>
        <w:t>Leaf expansion</w:t>
      </w:r>
      <w:r>
        <w:rPr>
          <w:rFonts w:ascii="Calibri" w:hAnsi="Calibri" w:eastAsia="PingFang SC"/>
        </w:rPr>
        <w:t xml:space="preserve"> 是运行前把复合要求拆成原子项。例如“Ua 的建议符合预算和风险”拆成“首阶段 ≤50 万”“三个月可逆试点”“继续/退出阈值”，每条都附 evidence target、0/1/2 锚点、weight、hard gate、judge route 和直接 metric binding。冻结后所有 agent 共用，不能看完输出再改。</w:t>
      </w:r>
    </w:p>
    <w:p>
      <w:pPr>
        <w:pStyle w:val="Heading2"/>
      </w:pPr>
      <w:r>
        <w:t>四类评价契约</w:t>
      </w:r>
    </w:p>
    <w:p>
      <w:pPr>
        <w:pStyle w:val="ListBullet"/>
      </w:pPr>
      <w:r>
        <w:rPr>
          <w:rFonts w:ascii="Calibri" w:hAnsi="Calibri" w:eastAsia="PingFang SC"/>
        </w:rPr>
        <w:t>Must change：不同用户必须变化；</w:t>
      </w:r>
    </w:p>
    <w:p>
      <w:pPr>
        <w:pStyle w:val="ListBullet"/>
      </w:pPr>
      <w:r>
        <w:rPr>
          <w:rFonts w:ascii="Calibri" w:hAnsi="Calibri" w:eastAsia="PingFang SC"/>
        </w:rPr>
        <w:t>Must hold：共同事实和质量必须保持；</w:t>
      </w:r>
    </w:p>
    <w:p>
      <w:pPr>
        <w:pStyle w:val="ListBullet"/>
      </w:pPr>
      <w:r>
        <w:rPr>
          <w:rFonts w:ascii="Calibri" w:hAnsi="Calibri" w:eastAsia="PingFang SC"/>
        </w:rPr>
        <w:t>Must not：不得假设、泄露或越权；</w:t>
      </w:r>
    </w:p>
    <w:p>
      <w:pPr>
        <w:pStyle w:val="ListBullet"/>
      </w:pPr>
      <w:r>
        <w:rPr>
          <w:rFonts w:ascii="Calibri" w:hAnsi="Calibri" w:eastAsia="PingFang SC"/>
        </w:rPr>
        <w:t>Clarify if unknown：缺关键信息时应提问或给条件分支。</w:t>
      </w:r>
    </w:p>
    <w:p>
      <w:pPr>
        <w:pStyle w:val="Heading2"/>
      </w:pPr>
      <w:r>
        <w:t>Leaf 到指标的显式绑定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Leaf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直接指标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后续用途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common / intent / deliverable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TQ；事实项同时 FR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基础质量门槛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must-change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指定用户 PF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matched/swapped 交叉评分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must-hold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TQ + Neutral Invariance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检查不该变的是否稳定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must-not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MP / hard gate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防泄露、越权与过度个性化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clarify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Clarification Correctness；错误假设进 MP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获取信息边界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operator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paired diagnostic Δ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S0–S3 压力诊断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TQ/FR/PF/MP 直接聚合 leaves；</w:t>
      </w:r>
      <w:r>
        <w:rPr>
          <w:rFonts w:ascii="Calibri" w:hAnsi="Calibri" w:eastAsia="PingFang SC"/>
          <w:b/>
        </w:rPr>
        <w:t>CFA 不绑定某一条 leaf</w:t>
      </w:r>
      <w:r>
        <w:rPr>
          <w:rFonts w:ascii="Calibri" w:hAnsi="Calibri" w:eastAsia="PingFang SC"/>
        </w:rPr>
        <w:t xml:space="preserve">。Ua 的同一组 PF leaves 同时评分 </w:t>
      </w:r>
      <w:r>
        <w:rPr>
          <w:rFonts w:ascii="Courier New" w:hAnsi="Courier New" w:eastAsia="PingFang SC"/>
          <w:color w:val="6A3E00"/>
          <w:sz w:val="20"/>
        </w:rPr>
        <w:t>Y_a/Y_b</w:t>
      </w:r>
      <w:r>
        <w:rPr>
          <w:rFonts w:ascii="Calibri" w:hAnsi="Calibri" w:eastAsia="PingFang SC"/>
        </w:rPr>
        <w:t xml:space="preserve">，Ub 同理，四个 PF 单元再计算 CFA。完整例子和 score trace 已写入 </w:t>
      </w:r>
      <w:r>
        <w:rPr>
          <w:rFonts w:ascii="Courier New" w:hAnsi="Courier New" w:eastAsia="PingFang SC"/>
          <w:color w:val="6A3E00"/>
          <w:sz w:val="20"/>
        </w:rPr>
        <w:t>rubric_bundle.example.yaml</w:t>
      </w:r>
      <w:r>
        <w:rPr>
          <w:rFonts w:ascii="Calibri" w:hAnsi="Calibri" w:eastAsia="PingFang SC"/>
        </w:rPr>
        <w:t>。</w:t>
      </w:r>
    </w:p>
    <w:p>
      <w:pPr>
        <w:pStyle w:val="Heading2"/>
      </w:pPr>
      <w:r>
        <w:t>主指标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指标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回答的问题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TQ / FR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任务和事实是否先过基本质量门槛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PF − MP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用户特异要求减去误用、泄露和过度迎合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CFA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 是否稳定优于 swapped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Worst-view CFA / Cue Gap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同一 user-state 换表达后是否仍稳定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Retention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长任务中用户适配保留多少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Update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状态改变后采用当前真值、避免旧状态残留的能力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主榜先过 TQ、FR 和关键隐私门槛，再报告个性化指标。不能用“懂用户”补偿事实错误。</w:t>
      </w:r>
    </w:p>
    <w:p>
      <w:r>
        <w:rPr>
          <w:rFonts w:ascii="Calibri" w:hAnsi="Calibri" w:eastAsia="PingFang SC"/>
        </w:rPr>
        <w:t>Leaderboard 分四张 profile：clean task/deliverable、signal acquisition、S0–S3 stress/failure curve、boundary/governance；只有同 anchor、同环境、同预算的 agent 才做显著性比较。</w:t>
      </w:r>
    </w:p>
    <w:p>
      <w:pPr>
        <w:pStyle w:val="Heading1"/>
      </w:pPr>
      <w:r>
        <w:t>5. Judge 方案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L0 确定性 verifier</w:t>
        <w:br/>
        <w:t>→ L1 证据 verifier</w:t>
        <w:br/>
        <w:t>→ L2 强通用 rubric judge</w:t>
        <w:br/>
        <w:t>→ L3 目标用户/领域专家复核</w:t>
      </w:r>
    </w:p>
    <w:p>
      <w:r>
        <w:rPr>
          <w:rFonts w:ascii="Calibri" w:hAnsi="Calibri" w:eastAsia="PingFang SC"/>
        </w:rPr>
        <w:t>JudgeBench 用 240 个单元测试位置偏差、长度偏差、漂亮格式诱饵、persona 关键词堆叠、隐私泄露、边界答案和正确弃权。</w:t>
      </w:r>
    </w:p>
    <w:p>
      <w:r>
        <w:rPr>
          <w:rFonts w:ascii="Calibri" w:hAnsi="Calibri" w:eastAsia="PingFang SC"/>
        </w:rPr>
        <w:t>两个月主线：</w:t>
      </w:r>
      <w:r>
        <w:rPr>
          <w:rFonts w:ascii="Courier New" w:hAnsi="Courier New" w:eastAsia="PingFang SC"/>
          <w:color w:val="6A3E00"/>
          <w:sz w:val="20"/>
        </w:rPr>
        <w:t>verifier → strong judge → 20% 分层人评 + 分歧仲裁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SFT scorer 只在第 4 周前已有高质量 gold 且不阻塞主实验时进入附录。“人工 0/1 + GPT reason”不能直接当新真值，必须加入 evidence span、错误类型、置信度和弃权。</w:t>
      </w:r>
    </w:p>
    <w:p>
      <w:pPr>
        <w:pStyle w:val="Heading1"/>
      </w:pPr>
      <w:r>
        <w:t>6. 最终交付物是否足够</w:t>
      </w:r>
    </w:p>
    <w:p>
      <w:pPr>
        <w:pStyle w:val="Heading2"/>
      </w:pPr>
      <w:r>
        <w:t>主榜：足够</w:t>
      </w:r>
    </w:p>
    <w:p>
      <w:r>
        <w:rPr>
          <w:rFonts w:ascii="Calibri" w:hAnsi="Calibri" w:eastAsia="PingFang SC"/>
        </w:rPr>
        <w:t>最终交付物可以判断：结果是否适合用户、matched 是否优于 swapped、是否损害事实性、是否泄露或过度迎合。</w:t>
      </w:r>
    </w:p>
    <w:p>
      <w:pPr>
        <w:pStyle w:val="Heading2"/>
      </w:pPr>
      <w:r>
        <w:t>机制结论：不够</w:t>
      </w:r>
    </w:p>
    <w:p>
      <w:r>
        <w:rPr>
          <w:rFonts w:ascii="Calibri" w:hAnsi="Calibri" w:eastAsia="PingFang SC"/>
        </w:rPr>
        <w:t>只看最后报告无法区分“没读到、忘了、知道但没用”。因此全量保存轻量轨迹，20%–30% 子集做 memory、handoff 和 dynamic-update 的受控压力分叉。</w:t>
      </w:r>
    </w:p>
    <w:p>
      <w:r>
        <w:rPr>
          <w:rFonts w:ascii="Calibri" w:hAnsi="Calibri" w:eastAsia="PingFang SC"/>
        </w:rPr>
        <w:t>如果诊断子集没有完成，论文只主张“最终交付物个性化”，不主张已经定位内部偏移时刻。</w:t>
      </w:r>
    </w:p>
    <w:p>
      <w:pPr>
        <w:pStyle w:val="Heading1"/>
      </w:pPr>
      <w:r>
        <w:t>7. 预期论文贡献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Evaluation Atlas</w:t>
      </w:r>
      <w:r>
        <w:rPr>
          <w:rFonts w:ascii="Calibri" w:hAnsi="Calibri" w:eastAsia="PingFang SC"/>
        </w:rPr>
        <w:t>：机器可读地描述 task、environment、user state、signal 和 agent；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families</w:t>
      </w:r>
      <w:r>
        <w:rPr>
          <w:rFonts w:ascii="Calibri" w:hAnsi="Calibri" w:eastAsia="PingFang SC"/>
        </w:rPr>
        <w:t>：用 matched/swapped 构造跨用户 2×2 对角优势，并用语义等价信号检查表面 cue 敏感性；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Failure taxonomy</w:t>
      </w:r>
      <w:r>
        <w:rPr>
          <w:rFonts w:ascii="Calibri" w:hAnsi="Calibri" w:eastAsia="PingFang SC"/>
        </w:rPr>
        <w:t>：任务类型负责覆盖，结果风险和失败模式负责诊断；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Rubric compiler</w:t>
      </w:r>
      <w:r>
        <w:rPr>
          <w:rFonts w:ascii="Calibri" w:hAnsi="Calibri" w:eastAsia="PingFang SC"/>
        </w:rPr>
        <w:t>：根据元数据选择可适用模块；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JudgeBench</w:t>
      </w:r>
      <w:r>
        <w:rPr>
          <w:rFonts w:ascii="Calibri" w:hAnsi="Calibri" w:eastAsia="PingFang SC"/>
        </w:rPr>
        <w:t>：先证明评委可靠，再发布自动榜单；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可复现协议</w:t>
      </w:r>
      <w:r>
        <w:rPr>
          <w:rFonts w:ascii="Calibri" w:hAnsi="Calibri" w:eastAsia="PingFang SC"/>
        </w:rPr>
        <w:t>：coverage manifest、版本、预算、轨迹和评分均可审计。</w:t>
      </w:r>
    </w:p>
    <w:p>
      <w:pPr>
        <w:pStyle w:val="Heading2"/>
      </w:pPr>
      <w:r>
        <w:t>与 PDR-Bench 的关键差异</w:t>
      </w:r>
    </w:p>
    <w:p>
      <w:r>
        <w:rPr>
          <w:rFonts w:ascii="Calibri" w:hAnsi="Calibri" w:eastAsia="PingFang SC"/>
        </w:rPr>
        <w:t>PDR-Bench 已建立 task–persona 条件下的 absolute adaptation evaluation。DeepAlign 的核心差异是 counterfactual effect identification；同时，PDR 已报告的低 PCA、窄校准、动态量尺和复合自动核验说明其 judge 仍需更强 validation。两条主张同时成立：前者定义方法创新，后者解释为什么必须建 JudgeBench。</w:t>
      </w:r>
    </w:p>
    <w:p>
      <w:pPr>
        <w:pStyle w:val="Heading1"/>
      </w:pPr>
      <w:r>
        <w:t>8. 两个月安排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研究产出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Go / No-Go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Atlas、schema、coverage、24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ontology 是否可运行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 family、48 user state、persona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80% family 有稳定用户差异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真值包和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matched/swapped 可区分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240-unit JudgeBench、6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judge 不过门则扩大人评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三类核心 agent 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成本和失败率可控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anchor 压测、20% 人评、错误编码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是否有独立个性化信号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统计、覆盖审计、Results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删除不受支持支线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不再新增分类和系统</w:t>
            </w:r>
          </w:p>
        </w:tc>
      </w:tr>
    </w:tbl>
    <w:p>
      <w:pPr>
        <w:spacing w:after="40"/>
      </w:pPr>
    </w:p>
    <w:p>
      <w:pPr>
        <w:pStyle w:val="Heading1"/>
      </w:pPr>
      <w:r>
        <w:t>9. 需要导师拍板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是否同意将“跨用户 counterfactual personalization effect identification”锁定为唯一核心方法贡献，Atlas 与 rubric compiler 作为实现和外部效度支撑？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是否锁定 24 family、48 user-task、4 条件、3 类 agent 的主矩阵？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SFT scorer 不阻塞主论文？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是否同意代码、多 agent、memory 和动态用户只进入 8 个 anchor family？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若 judge 或 persona 真值不过门，是否接受缩小论文主张，而不是继续扩大数据？</w:t>
      </w:r>
    </w:p>
    <w:p>
      <w:pPr>
        <w:pStyle w:val="Heading1"/>
      </w:pPr>
      <w:r>
        <w:t>10. 最重要的风险</w:t>
      </w:r>
    </w:p>
    <w:p>
      <w:pPr>
        <w:pStyle w:val="ListBullet"/>
      </w:pPr>
      <w:r>
        <w:rPr>
          <w:rFonts w:ascii="Calibri" w:hAnsi="Calibri" w:eastAsia="PingFang SC"/>
        </w:rPr>
        <w:t>Persona 如果只是作者想象，个性化 gold 不成立；</w:t>
      </w:r>
    </w:p>
    <w:p>
      <w:pPr>
        <w:pStyle w:val="ListBullet"/>
      </w:pPr>
      <w:r>
        <w:rPr>
          <w:rFonts w:ascii="Calibri" w:hAnsi="Calibri" w:eastAsia="PingFang SC"/>
        </w:rPr>
        <w:t>Rubric 如果不能区分 matched/swapped，CFA 没有意义；</w:t>
      </w:r>
    </w:p>
    <w:p>
      <w:pPr>
        <w:pStyle w:val="ListBullet"/>
      </w:pPr>
      <w:r>
        <w:rPr>
          <w:rFonts w:ascii="Calibri" w:hAnsi="Calibri" w:eastAsia="PingFang SC"/>
        </w:rPr>
        <w:t>Judge 如果偏爱长度和风格，自动榜单不可信；</w:t>
      </w:r>
    </w:p>
    <w:p>
      <w:pPr>
        <w:pStyle w:val="ListBullet"/>
      </w:pPr>
      <w:r>
        <w:rPr>
          <w:rFonts w:ascii="Calibri" w:hAnsi="Calibri" w:eastAsia="PingFang SC"/>
        </w:rPr>
        <w:t>元数据很多但测试稀疏，必须公开 coverage 缺口；</w:t>
      </w:r>
    </w:p>
    <w:p>
      <w:pPr>
        <w:pStyle w:val="ListBullet"/>
      </w:pPr>
      <w:r>
        <w:rPr>
          <w:rFonts w:ascii="Calibri" w:hAnsi="Calibri" w:eastAsia="PingFang SC"/>
        </w:rPr>
        <w:t>不同 agent 工具和预算不同，必须分轨道比较；</w:t>
      </w:r>
    </w:p>
    <w:p>
      <w:pPr>
        <w:pStyle w:val="ListBullet"/>
      </w:pPr>
      <w:r>
        <w:rPr>
          <w:rFonts w:ascii="Calibri" w:hAnsi="Calibri" w:eastAsia="PingFang SC"/>
        </w:rPr>
        <w:t>两个月最大的风险不是任务少，而是范围继续扩大导致没有完整主实验。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OpenCompass Team. </w:t>
      </w:r>
      <w:r>
        <w:rPr>
          <w:rFonts w:ascii="Calibri" w:hAnsi="Calibri" w:eastAsia="PingFang SC"/>
          <w:i/>
          <w:sz w:val="14"/>
        </w:rPr>
        <w:t>OpenCompass: A Universal Evaluation Platform for Large Language Models</w:t>
      </w:r>
      <w:r>
        <w:rPr>
          <w:rFonts w:ascii="Calibri" w:hAnsi="Calibri" w:eastAsia="PingFang SC"/>
          <w:sz w:val="14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Zhang et al. </w:t>
      </w:r>
      <w:r>
        <w:rPr>
          <w:rFonts w:ascii="Calibri" w:hAnsi="Calibri" w:eastAsia="PingFang SC"/>
          <w:i/>
          <w:sz w:val="14"/>
        </w:rPr>
        <w:t>Agent-SafetyBench</w:t>
      </w:r>
      <w:r>
        <w:rPr>
          <w:rFonts w:ascii="Calibri" w:hAnsi="Calibri" w:eastAsia="PingFang SC"/>
          <w:sz w:val="14"/>
        </w:rPr>
        <w:t>. arXiv:2412.14470.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</w:t>
      </w:r>
      <w:r>
        <w:rPr>
          <w:rFonts w:ascii="Calibri" w:hAnsi="Calibri" w:eastAsia="PingFang SC"/>
          <w:i/>
          <w:sz w:val="14"/>
        </w:rPr>
        <w:t>Towards Personalized Deep Research: Benchmarks and Evaluations</w:t>
      </w:r>
      <w:r>
        <w:rPr>
          <w:rFonts w:ascii="Calibri" w:hAnsi="Calibri" w:eastAsia="PingFang SC"/>
          <w:sz w:val="14"/>
        </w:rPr>
        <w:t>. arXiv:2509.25106.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Wang et al. </w:t>
      </w:r>
      <w:r>
        <w:rPr>
          <w:rFonts w:ascii="Calibri" w:hAnsi="Calibri" w:eastAsia="PingFang SC"/>
          <w:i/>
          <w:sz w:val="14"/>
        </w:rPr>
        <w:t>LiveResearchBench</w:t>
      </w:r>
      <w:r>
        <w:rPr>
          <w:rFonts w:ascii="Calibri" w:hAnsi="Calibri" w:eastAsia="PingFang SC"/>
          <w:sz w:val="14"/>
        </w:rPr>
        <w:t>. arXiv:2510.14240.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[5] Sharma et al. </w:t>
      </w:r>
      <w:r>
        <w:rPr>
          <w:rFonts w:ascii="Calibri" w:hAnsi="Calibri" w:eastAsia="PingFang SC"/>
          <w:i/>
          <w:sz w:val="14"/>
        </w:rPr>
        <w:t>ResearchRubrics</w:t>
      </w:r>
      <w:r>
        <w:rPr>
          <w:rFonts w:ascii="Calibri" w:hAnsi="Calibri" w:eastAsia="PingFang SC"/>
          <w:sz w:val="14"/>
        </w:rPr>
        <w:t>. arXiv:2511.07685.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[6] Liang et al. </w:t>
      </w:r>
      <w:r>
        <w:rPr>
          <w:rFonts w:ascii="Calibri" w:hAnsi="Calibri" w:eastAsia="PingFang SC"/>
          <w:i/>
          <w:sz w:val="14"/>
        </w:rPr>
        <w:t>HELM</w:t>
      </w:r>
      <w:r>
        <w:rPr>
          <w:rFonts w:ascii="Calibri" w:hAnsi="Calibri" w:eastAsia="PingFang SC"/>
          <w:sz w:val="14"/>
        </w:rPr>
        <w:t>. TMLR, 2023.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[7] Ribeiro et al. </w:t>
      </w:r>
      <w:r>
        <w:rPr>
          <w:rFonts w:ascii="Calibri" w:hAnsi="Calibri" w:eastAsia="PingFang SC"/>
          <w:i/>
          <w:sz w:val="14"/>
        </w:rPr>
        <w:t>CheckList</w:t>
      </w:r>
      <w:r>
        <w:rPr>
          <w:rFonts w:ascii="Calibri" w:hAnsi="Calibri" w:eastAsia="PingFang SC"/>
          <w:sz w:val="14"/>
        </w:rPr>
        <w:t>. ACL, 2020.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[8] Reuel et al. </w:t>
      </w:r>
      <w:r>
        <w:rPr>
          <w:rFonts w:ascii="Calibri" w:hAnsi="Calibri" w:eastAsia="PingFang SC"/>
          <w:i/>
          <w:sz w:val="14"/>
        </w:rPr>
        <w:t>BetterBench</w:t>
      </w:r>
      <w:r>
        <w:rPr>
          <w:rFonts w:ascii="Calibri" w:hAnsi="Calibri" w:eastAsia="PingFang SC"/>
          <w:sz w:val="14"/>
        </w:rPr>
        <w:t>. arXiv:2411.12990.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[9] Zeng et al. </w:t>
      </w:r>
      <w:r>
        <w:rPr>
          <w:rFonts w:ascii="Calibri" w:hAnsi="Calibri" w:eastAsia="PingFang SC"/>
          <w:i/>
          <w:sz w:val="14"/>
        </w:rPr>
        <w:t>Setoka</w:t>
      </w:r>
      <w:r>
        <w:rPr>
          <w:rFonts w:ascii="Calibri" w:hAnsi="Calibri" w:eastAsia="PingFang SC"/>
          <w:sz w:val="14"/>
        </w:rPr>
        <w:t>. arXiv:2607.27056.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[10] Qian et al. </w:t>
      </w:r>
      <w:r>
        <w:rPr>
          <w:rFonts w:ascii="Calibri" w:hAnsi="Calibri" w:eastAsia="PingFang SC"/>
          <w:i/>
          <w:sz w:val="14"/>
        </w:rPr>
        <w:t>User-Conditioned Evaluation under Temporal Interventions</w:t>
      </w:r>
      <w:r>
        <w:rPr>
          <w:rFonts w:ascii="Calibri" w:hAnsi="Calibri" w:eastAsia="PingFang SC"/>
          <w:sz w:val="14"/>
        </w:rPr>
        <w:t>. arXiv:2607.21635.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[11] Yang et al. </w:t>
      </w:r>
      <w:r>
        <w:rPr>
          <w:rFonts w:ascii="Calibri" w:hAnsi="Calibri" w:eastAsia="PingFang SC"/>
          <w:i/>
          <w:sz w:val="14"/>
        </w:rPr>
        <w:t>PersonaTrail</w:t>
      </w:r>
      <w:r>
        <w:rPr>
          <w:rFonts w:ascii="Calibri" w:hAnsi="Calibri" w:eastAsia="PingFang SC"/>
          <w:sz w:val="14"/>
        </w:rPr>
        <w:t>. arXiv:2607.20482.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[12] Todisco et al. </w:t>
      </w:r>
      <w:r>
        <w:rPr>
          <w:rFonts w:ascii="Calibri" w:hAnsi="Calibri" w:eastAsia="PingFang SC"/>
          <w:i/>
          <w:sz w:val="14"/>
        </w:rPr>
        <w:t>TARS</w:t>
      </w:r>
      <w:r>
        <w:rPr>
          <w:rFonts w:ascii="Calibri" w:hAnsi="Calibri" w:eastAsia="PingFang SC"/>
          <w:sz w:val="14"/>
        </w:rPr>
        <w:t>. arXiv:2607.15948.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[13] Yang. </w:t>
      </w:r>
      <w:r>
        <w:rPr>
          <w:rFonts w:ascii="Calibri" w:hAnsi="Calibri" w:eastAsia="PingFang SC"/>
          <w:i/>
          <w:sz w:val="14"/>
        </w:rPr>
        <w:t>SARSI Agents for Personal Singularity</w:t>
      </w:r>
      <w:r>
        <w:rPr>
          <w:rFonts w:ascii="Calibri" w:hAnsi="Calibri" w:eastAsia="PingFang SC"/>
          <w:sz w:val="14"/>
        </w:rPr>
        <w:t>. arXiv:2607.12254.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[14] Mao et al. </w:t>
      </w:r>
      <w:r>
        <w:rPr>
          <w:rFonts w:ascii="Calibri" w:hAnsi="Calibri" w:eastAsia="PingFang SC"/>
          <w:i/>
          <w:sz w:val="14"/>
        </w:rPr>
        <w:t>Agents Don't Just Agree, They Remember</w:t>
      </w:r>
      <w:r>
        <w:rPr>
          <w:rFonts w:ascii="Calibri" w:hAnsi="Calibri" w:eastAsia="PingFang SC"/>
          <w:sz w:val="14"/>
        </w:rPr>
        <w:t>. arXiv:2607.10526.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[15] Yang et al. </w:t>
      </w:r>
      <w:r>
        <w:rPr>
          <w:rFonts w:ascii="Calibri" w:hAnsi="Calibri" w:eastAsia="PingFang SC"/>
          <w:i/>
          <w:sz w:val="14"/>
        </w:rPr>
        <w:t>APeB</w:t>
      </w:r>
      <w:r>
        <w:rPr>
          <w:rFonts w:ascii="Calibri" w:hAnsi="Calibri" w:eastAsia="PingFang SC"/>
          <w:sz w:val="14"/>
        </w:rPr>
        <w:t>. arXiv:2607.03162.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[16] Hao et al. </w:t>
      </w:r>
      <w:r>
        <w:rPr>
          <w:rFonts w:ascii="Calibri" w:hAnsi="Calibri" w:eastAsia="PingFang SC"/>
          <w:i/>
          <w:sz w:val="14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4"/>
        </w:rPr>
        <w:t xml:space="preserve">. ACL, 2025. </w:t>
      </w:r>
      <w:hyperlink r:id="rId1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https://aclanthology.org/2025.acl-long.1064/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[17] Li et al. </w:t>
      </w:r>
      <w:r>
        <w:rPr>
          <w:rFonts w:ascii="Calibri" w:hAnsi="Calibri" w:eastAsia="PingFang SC"/>
          <w:i/>
          <w:sz w:val="14"/>
        </w:rPr>
        <w:t>Personalized Deep Research: A User-Centric Framework, Dataset, and Hybrid Evaluation</w:t>
      </w:r>
      <w:r>
        <w:rPr>
          <w:rFonts w:ascii="Calibri" w:hAnsi="Calibri" w:eastAsia="PingFang SC"/>
          <w:sz w:val="14"/>
        </w:rPr>
        <w:t>. arXiv:2605.10530.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[18] Liang et al. </w:t>
      </w:r>
      <w:r>
        <w:rPr>
          <w:rFonts w:ascii="Calibri" w:hAnsi="Calibri" w:eastAsia="PingFang SC"/>
          <w:i/>
          <w:sz w:val="14"/>
        </w:rPr>
        <w:t>Learning Personalized Agents from Human Feedback</w:t>
      </w:r>
      <w:r>
        <w:rPr>
          <w:rFonts w:ascii="Calibri" w:hAnsi="Calibri" w:eastAsia="PingFang SC"/>
          <w:sz w:val="14"/>
        </w:rPr>
        <w:t>. arXiv:2602.16173.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[19] Shen et al. </w:t>
      </w:r>
      <w:r>
        <w:rPr>
          <w:rFonts w:ascii="Calibri" w:hAnsi="Calibri" w:eastAsia="PingFang SC"/>
          <w:i/>
          <w:sz w:val="14"/>
        </w:rPr>
        <w:t>Mem2ActBench</w:t>
      </w:r>
      <w:r>
        <w:rPr>
          <w:rFonts w:ascii="Calibri" w:hAnsi="Calibri" w:eastAsia="PingFang SC"/>
          <w:sz w:val="14"/>
        </w:rPr>
        <w:t xml:space="preserve">. ACL, 2026. </w:t>
      </w:r>
      <w:hyperlink r:id="rId1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https://aclanthology.org/2026.acl-long.370/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[20] Balepur et al. </w:t>
      </w:r>
      <w:r>
        <w:rPr>
          <w:rFonts w:ascii="Calibri" w:hAnsi="Calibri" w:eastAsia="PingFang SC"/>
          <w:i/>
          <w:sz w:val="14"/>
        </w:rPr>
        <w:t>Language Models Don't Know What You Want</w:t>
      </w:r>
      <w:r>
        <w:rPr>
          <w:rFonts w:ascii="Calibri" w:hAnsi="Calibri" w:eastAsia="PingFang SC"/>
          <w:sz w:val="14"/>
        </w:rPr>
        <w:t xml:space="preserve">. ACL, 2026.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[21] Weeber et al. </w:t>
      </w:r>
      <w:r>
        <w:rPr>
          <w:rFonts w:ascii="Calibri" w:hAnsi="Calibri" w:eastAsia="PingFang SC"/>
          <w:i/>
          <w:sz w:val="14"/>
        </w:rPr>
        <w:t>One Persona, Many Cues, Different Results</w:t>
      </w:r>
      <w:r>
        <w:rPr>
          <w:rFonts w:ascii="Calibri" w:hAnsi="Calibri" w:eastAsia="PingFang SC"/>
          <w:sz w:val="14"/>
        </w:rPr>
        <w:t xml:space="preserve">. ACL, 2026. </w:t>
      </w:r>
      <w:hyperlink r:id="rId2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[22] Qiu et al. </w:t>
      </w:r>
      <w:r>
        <w:rPr>
          <w:rFonts w:ascii="Calibri" w:hAnsi="Calibri" w:eastAsia="PingFang SC"/>
          <w:i/>
          <w:sz w:val="14"/>
        </w:rPr>
        <w:t>Preference-Aware Rubric Learning for Personalized Evaluation</w:t>
      </w:r>
      <w:r>
        <w:rPr>
          <w:rFonts w:ascii="Calibri" w:hAnsi="Calibri" w:eastAsia="PingFang SC"/>
          <w:sz w:val="14"/>
        </w:rPr>
        <w:t xml:space="preserve">. arXiv:2605.31545, 2026.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https://arxiv.org/abs/2605.31545</w:t>
        </w:r>
      </w:hyperlink>
    </w:p>
    <w:sectPr w:rsidR="00FC693F" w:rsidRPr="0006063C" w:rsidSect="00034616">
      <w:headerReference w:type="default" r:id="rId25"/>
      <w:footerReference w:type="default" r:id="rId26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607.27056" TargetMode="External"/><Relationship Id="rId12" Type="http://schemas.openxmlformats.org/officeDocument/2006/relationships/hyperlink" Target="https://arxiv.org/abs/2607.20482" TargetMode="External"/><Relationship Id="rId13" Type="http://schemas.openxmlformats.org/officeDocument/2006/relationships/hyperlink" Target="https://arxiv.org/abs/2607.03162" TargetMode="External"/><Relationship Id="rId14" Type="http://schemas.openxmlformats.org/officeDocument/2006/relationships/hyperlink" Target="https://aclanthology.org/2025.acl-long.1064/" TargetMode="External"/><Relationship Id="rId15" Type="http://schemas.openxmlformats.org/officeDocument/2006/relationships/hyperlink" Target="https://aclanthology.org/2026.acl-long.370/" TargetMode="External"/><Relationship Id="rId16" Type="http://schemas.openxmlformats.org/officeDocument/2006/relationships/hyperlink" Target="https://arxiv.org/abs/2602.16173" TargetMode="External"/><Relationship Id="rId17" Type="http://schemas.openxmlformats.org/officeDocument/2006/relationships/hyperlink" Target="https://arxiv.org/abs/2509.25106" TargetMode="External"/><Relationship Id="rId18" Type="http://schemas.openxmlformats.org/officeDocument/2006/relationships/hyperlink" Target="https://arxiv.org/abs/2605.10530" TargetMode="External"/><Relationship Id="rId19" Type="http://schemas.openxmlformats.org/officeDocument/2006/relationships/hyperlink" Target="https://aclanthology.org/2026.acl-long.723/" TargetMode="External"/><Relationship Id="rId20" Type="http://schemas.openxmlformats.org/officeDocument/2006/relationships/hyperlink" Target="https://aclanthology.org/2026.acl-long.2079/" TargetMode="External"/><Relationship Id="rId21" Type="http://schemas.openxmlformats.org/officeDocument/2006/relationships/hyperlink" Target="https://arxiv.org/abs/2605.31545" TargetMode="External"/><Relationship Id="rId22" Type="http://schemas.openxmlformats.org/officeDocument/2006/relationships/header" Target="header2.xml"/><Relationship Id="rId23" Type="http://schemas.openxmlformats.org/officeDocument/2006/relationships/footer" Target="footer2.xml"/><Relationship Id="rId24" Type="http://schemas.openxmlformats.org/officeDocument/2006/relationships/image" Target="media/image1.png"/><Relationship Id="rId25" Type="http://schemas.openxmlformats.org/officeDocument/2006/relationships/header" Target="header3.xml"/><Relationship Id="rId26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