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从绝对适配到反事实用户特异性</w:t>
      </w:r>
    </w:p>
    <w:p>
      <w:pPr>
        <w:spacing w:after="520"/>
        <w:jc w:val="center"/>
        <w:pBdr>
          <w:bottom w:val="single" w:sz="8" w:space="8" w:color="7A9BB7"/>
        </w:pBdr>
      </w:pPr>
      <w:r>
        <w:rPr>
          <w:rFonts w:ascii="Calibri" w:hAnsi="Calibri" w:eastAsia="PingFang SC"/>
          <w:b/>
          <w:color w:val="5B6B7A"/>
          <w:sz w:val="21"/>
        </w:rPr>
        <w:t>Interactive Agents · Personalization · Deep Research</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v0.49 · Introduction 证据门预注册版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13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JudgeBench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五天冻结门、贡献与主张边界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阅读提示：先看主图和研究概要理解 absolute adaptation 与 counterfactual specificity 的区别；指标、反例实验和五天冻结门是当前版本的决策重点。</w:t>
      </w:r>
    </w:p>
    <w:p>
      <w:r>
        <w:br w:type="page"/>
      </w:r>
    </w:p>
    <w:p>
      <w:pPr>
        <w:pStyle w:val="Heading1"/>
      </w:pPr>
      <w:r>
        <w:t>研究概要</w:t>
      </w:r>
    </w:p>
    <w:p>
      <w:r>
        <w:rPr>
          <w:rFonts w:ascii="Calibri" w:hAnsi="Calibri" w:eastAsia="PingFang SC"/>
        </w:rPr>
        <w:t>Deep Research 智能体已经能检索、综合并生成长报告，PDR-Bench 也已经建立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但一个单用户绝对分仍不能回答另一个构念：</w:t>
      </w:r>
      <w:r>
        <w:rPr>
          <w:rFonts w:ascii="Calibri" w:hAnsi="Calibri" w:eastAsia="PingFang SC"/>
          <w:b/>
        </w:rPr>
        <w:t>只改变目标用户、固定任务和证据后，系统是否会发生方向正确且只对该用户必要的变化。</w:t>
      </w:r>
      <w:r>
        <w:rPr>
          <w:rFonts w:ascii="Calibri" w:hAnsi="Calibri" w:eastAsia="PingFang SC"/>
        </w:rPr>
        <w:t xml:space="preserve"> 一份高质量通用报告可能对两位用户都拿高分；一份反复提及 persona 的报告也可能在最终决策上用错约束。DeepAlign-Bench 的主目标是识别这种 counterfactual user specificity，而不是再造一个更复杂的绝对适配总分。</w:t>
      </w:r>
    </w:p>
    <w:p>
      <w:r>
        <w:rPr>
          <w:rFonts w:ascii="Calibri" w:hAnsi="Calibri" w:eastAsia="PingFang SC"/>
        </w:rPr>
        <w:t>本稿不会把“通用好报告获得高 P-Score”直接称为 PDR-Bench 打分错误：如果报告确实对目标用户有帮助，absolute adaptation 给高分是合理的。它暴露的是</w:t>
      </w:r>
      <w:r>
        <w:rPr>
          <w:rFonts w:ascii="Calibri" w:hAnsi="Calibri" w:eastAsia="PingFang SC"/>
          <w:b/>
        </w:rPr>
        <w:t>识别盲区</w:t>
      </w:r>
      <w:r>
        <w:rPr>
          <w:rFonts w:ascii="Calibri" w:hAnsi="Calibri" w:eastAsia="PingFang SC"/>
        </w:rPr>
        <w:t>——这个高分本身不能证明系统使用了用户信息，也不能区分同样适合许多用户的通用质量与只因目标用户而产生的决策变化。只有当一份报告已经被盲化人评确认在关键用户约束上作出错误最终决定，PDR-style evaluator 仍稳定给出接近 matched 的分数，才构成受控假阳性。即便出现这一结果，论文也只能主张 absolute personalization evaluation 存在可重复的 blind spot，不能从四个合成 family 推导 PDR-Bench 整体无效。</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因此，v0.49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两个月版本先完成 3 个完整 family 的官方 judge + 真人校准，再扩到约 12–24 个 family、2–3 条 agent 管线和至少三种 user-information channel。主渠道是 structured persona 与 natural history；新增的交互渠道是 </w:t>
      </w:r>
      <w:r>
        <w:rPr>
          <w:rFonts w:ascii="Calibri" w:hAnsi="Calibri" w:eastAsia="PingFang SC"/>
          <w:b/>
        </w:rPr>
        <w:t>模糊但足以开始的 query → agent 可选择澄清 → ledger-bounded 用户回答 → final report</w:t>
      </w:r>
      <w:r>
        <w:rPr>
          <w:rFonts w:ascii="Calibri" w:hAnsi="Calibri" w:eastAsia="PingFang SC"/>
        </w:rPr>
        <w:t>。它用同一隐藏 user-state ledger 和同一最终 rubric，但单独记录提问收益、轮数、打扰和隐私，不与直接提供 persona 的 cue-equivalence 集混为一谈。长程、动态状态和权限只作为少量 stress layer。</w:t>
      </w:r>
    </w:p>
    <w:p>
      <w:r>
        <w:rPr>
          <w:rFonts w:ascii="Calibri" w:hAnsi="Calibri" w:eastAsia="PingFang SC"/>
          <w:b/>
        </w:rPr>
        <w:t>一句话研究目标：</w:t>
      </w:r>
      <w:r>
        <w:rPr>
          <w:rFonts w:ascii="Calibri" w:hAnsi="Calibri" w:eastAsia="PingFang SC"/>
        </w:rPr>
        <w:t>在固定任务、证据、工具和预算时，检验 Deep Research agent 的最终交付物是否同时具有双向反事实用户特异性、绝对合格、相对通用回答的真实收益、共同质量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整体框架与 PDR-compatible 压力测试</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整体框架与PDR压力测试_v0.49.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从 case/task/user 元数据和多种信息渠道，到 2×2 交叉评分、五道非补偿门、系统能力地图、方向性最小实验与 ICLR 五天冻结门。</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RQ3（渠道鲁棒性）：</w:t>
      </w:r>
      <w:r>
        <w:rPr>
          <w:rFonts w:ascii="Calibri" w:hAnsi="Calibri" w:eastAsia="PingFang SC"/>
        </w:rPr>
        <w:t>同一隐藏 user state 经 structured persona、natural history 或模糊 query + clarification 获得时，系统排序和关键决策是否稳定；clarification 的收益是否足以抵消交互成本？</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CFA、三类契约、跨 cue 稳健性和 JudgeBench 负责确认处理；DDE 与 WrongUserHarm 才承担核心结论。</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四重门后，才扩到 </w:t>
      </w:r>
      <w:r>
        <w:rPr>
          <w:rFonts w:ascii="Calibri" w:hAnsi="Calibri" w:eastAsia="PingFang SC"/>
          <w:b/>
        </w:rPr>
        <w:t>8–12 个决策 family</w:t>
      </w:r>
      <w:r>
        <w:rPr>
          <w:rFonts w:ascii="Calibri" w:hAnsi="Calibri" w:eastAsia="PingFang SC"/>
        </w:rPr>
        <w:t>。真人招募暂按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2–4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4">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编译接口、direction node 与叶节点 schema、聚合规则</w:t>
      </w:r>
      <w:r>
        <w:rPr>
          <w:rFonts w:ascii="Calibri" w:hAnsi="Calibri" w:eastAsia="PingFang SC"/>
        </w:rPr>
        <w:t xml:space="preserve">；具体评价项由 case 元数据和预先写好的评价契约选择。仓库中除 case/template/module/leaf/metric/data-factory 外，v0.31 新增 </w:t>
      </w:r>
      <w:r>
        <w:rPr>
          <w:rFonts w:ascii="Courier New" w:hAnsi="Courier New" w:eastAsia="PingFang SC"/>
          <w:color w:val="6A3E00"/>
          <w:sz w:val="20"/>
        </w:rPr>
        <w:t>rubric_node_registry.yaml</w:t>
      </w:r>
      <w:r>
        <w:rPr>
          <w:rFonts w:ascii="Calibri" w:hAnsi="Calibri" w:eastAsia="PingFang SC"/>
        </w:rPr>
        <w:t>、</w:t>
      </w:r>
      <w:r>
        <w:rPr>
          <w:rFonts w:ascii="Courier New" w:hAnsi="Courier New" w:eastAsia="PingFang SC"/>
          <w:color w:val="6A3E00"/>
          <w:sz w:val="20"/>
        </w:rPr>
        <w:t>construction_annotation.protocol.yaml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，分别冻结 module 到 case-specific leaf 之间的可复用方向、分层标注和三环境开工顺序。自动 validator、路由器和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：根据冻结的 metadata/contracts 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4"/>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4"/>
        </w:numPr>
        <w:spacing w:after="80" w:line="290" w:lineRule="auto"/>
        <w:ind w:left="540" w:hanging="279"/>
      </w:pPr>
      <w:r>
        <w:rPr>
          <w:rFonts w:ascii="Calibri" w:hAnsi="Calibri" w:eastAsia="PingFang SC"/>
        </w:rPr>
        <w:t>matched outputs 均通过 TQ、FR、must-hold 与 owner-aware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Judge 体系与独立 JudgeBench</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hyperlink r:id="rId46">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6"/>
        </w:numPr>
        <w:spacing w:after="80" w:line="290" w:lineRule="auto"/>
        <w:ind w:left="540" w:hanging="279"/>
      </w:pPr>
      <w:r>
        <w:rPr>
          <w:rFonts w:ascii="Calibri" w:hAnsi="Calibri" w:eastAsia="PingFang SC"/>
        </w:rPr>
        <w:t>Task only；</w:t>
      </w:r>
    </w:p>
    <w:p>
      <w:pPr>
        <w:numPr>
          <w:ilvl w:val="0"/>
          <w:numId w:val="26"/>
        </w:numPr>
        <w:spacing w:after="80" w:line="290" w:lineRule="auto"/>
        <w:ind w:left="540" w:hanging="279"/>
      </w:pPr>
      <w:r>
        <w:rPr>
          <w:rFonts w:ascii="Calibri" w:hAnsi="Calibri" w:eastAsia="PingFang SC"/>
        </w:rPr>
        <w:t>Oracle structured persona；</w:t>
      </w:r>
    </w:p>
    <w:p>
      <w:pPr>
        <w:numPr>
          <w:ilvl w:val="0"/>
          <w:numId w:val="26"/>
        </w:numPr>
        <w:spacing w:after="80" w:line="290" w:lineRule="auto"/>
        <w:ind w:left="540" w:hanging="279"/>
      </w:pPr>
      <w:r>
        <w:rPr>
          <w:rFonts w:ascii="Calibri" w:hAnsi="Calibri" w:eastAsia="PingFang SC"/>
        </w:rPr>
        <w:t>语义等价的自然对话历史；</w:t>
      </w:r>
    </w:p>
    <w:p>
      <w:pPr>
        <w:numPr>
          <w:ilvl w:val="0"/>
          <w:numId w:val="26"/>
        </w:numPr>
        <w:spacing w:after="80" w:line="290" w:lineRule="auto"/>
        <w:ind w:left="540" w:hanging="279"/>
      </w:pPr>
      <w:r>
        <w:rPr>
          <w:rFonts w:ascii="Calibri" w:hAnsi="Calibri" w:eastAsia="PingFang SC"/>
        </w:rPr>
        <w:t>历史 + 检索式 memory；</w:t>
      </w:r>
    </w:p>
    <w:p>
      <w:pPr>
        <w:numPr>
          <w:ilvl w:val="0"/>
          <w:numId w:val="26"/>
        </w:numPr>
        <w:spacing w:after="80" w:line="290" w:lineRule="auto"/>
        <w:ind w:left="540" w:hanging="279"/>
      </w:pPr>
      <w:r>
        <w:rPr>
          <w:rFonts w:ascii="Calibri" w:hAnsi="Calibri" w:eastAsia="PingFang SC"/>
        </w:rPr>
        <w:t>主动澄清；</w:t>
      </w:r>
    </w:p>
    <w:p>
      <w:pPr>
        <w:numPr>
          <w:ilvl w:val="0"/>
          <w:numId w:val="26"/>
        </w:numPr>
        <w:spacing w:after="80" w:line="290" w:lineRule="auto"/>
        <w:ind w:left="540" w:hanging="279"/>
      </w:pPr>
      <w:r>
        <w:rPr>
          <w:rFonts w:ascii="Calibri" w:hAnsi="Calibri" w:eastAsia="PingFang SC"/>
        </w:rPr>
        <w:t>Persona shuffled（目标用户不变、只交换可见 signal bundle 的负对照）；</w:t>
      </w:r>
    </w:p>
    <w:p>
      <w:pPr>
        <w:numPr>
          <w:ilvl w:val="0"/>
          <w:numId w:val="26"/>
        </w:numPr>
        <w:spacing w:after="80" w:line="290" w:lineRule="auto"/>
        <w:ind w:left="540" w:hanging="279"/>
      </w:pPr>
      <w:r>
        <w:rPr>
          <w:rFonts w:ascii="Calibri" w:hAnsi="Calibri" w:eastAsia="PingFang SC"/>
        </w:rPr>
        <w:t>Irrelevant persona（无关属性，过度个性化探针）；</w:t>
      </w:r>
    </w:p>
    <w:p>
      <w:pPr>
        <w:numPr>
          <w:ilvl w:val="0"/>
          <w:numId w:val="26"/>
        </w:numPr>
        <w:spacing w:after="80" w:line="290" w:lineRule="auto"/>
        <w:ind w:left="540" w:hanging="279"/>
      </w:pPr>
      <w:r>
        <w:rPr>
          <w:rFonts w:ascii="Calibri" w:hAnsi="Calibri" w:eastAsia="PingFang SC"/>
        </w:rPr>
        <w:t>Contradictory/dated history（冲突与时效）；</w:t>
      </w:r>
    </w:p>
    <w:p>
      <w:pPr>
        <w:numPr>
          <w:ilvl w:val="0"/>
          <w:numId w:val="26"/>
        </w:numPr>
        <w:spacing w:after="80" w:line="290" w:lineRule="auto"/>
        <w:ind w:left="540" w:hanging="279"/>
      </w:pPr>
      <w:r>
        <w:rPr>
          <w:rFonts w:ascii="Calibri" w:hAnsi="Calibri" w:eastAsia="PingFang SC"/>
        </w:rPr>
        <w:t>Context dilution（不同长度和位置）；</w:t>
      </w:r>
    </w:p>
    <w:p>
      <w:pPr>
        <w:numPr>
          <w:ilvl w:val="0"/>
          <w:numId w:val="26"/>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：先完成 3 个端到端 decision vertical slice；通过 utility 可冻结、task shell 等价、报告质量配平和盲化门后，扩到 8–12 个决策 family、约 36–48 名真实目标用户和 2–3 条可比 agent/报告生成管线。Phase A 可运行更多离线 artifact episode，但 Phase B 的真人功效优先于 taxonomy 或 agent 数量。长期状态、证据污染和权限只在 2–4 个适用 anchor 上做单因素压力层。</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7"/>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7"/>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7"/>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7"/>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先承认 PDR-Bench 已能用 task/persona-conditioned P-Score 评价 absolute adaptation，v0.31 的跨用户 2×2 矩阵只是把 artifact-fit 的识别做得更严格。v0.32 的核心增量不再是另一种 fit 分数，而是把 task-only、matched、swapped 报告作为随机化处理，检验它们是否降低真实目标用户在预冻结 utility 下的 decision regret。PF/CFA、</w:t>
      </w:r>
      <w:r>
        <w:rPr>
          <w:rFonts w:ascii="Courier New" w:hAnsi="Courier New" w:eastAsia="PingFang SC"/>
          <w:color w:val="6A3E00"/>
          <w:sz w:val="20"/>
        </w:rPr>
        <w:t>must-change / must-hold / must-not</w:t>
      </w:r>
      <w:r>
        <w:rPr>
          <w:rFonts w:ascii="Calibri" w:hAnsi="Calibri" w:eastAsia="PingFang SC"/>
        </w:rPr>
        <w:t>、目标用户盲评和 JudgeBench 只确认处理成立并解释机制；DDE、WrongUserHarm、硬约束和置信度校准承担主要结论。更多任务、agent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8"/>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8"/>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8"/>
        </w:numPr>
        <w:spacing w:after="80" w:line="290" w:lineRule="auto"/>
        <w:ind w:left="540" w:hanging="279"/>
      </w:pPr>
      <w:r>
        <w:rPr>
          <w:rFonts w:ascii="Calibri" w:hAnsi="Calibri" w:eastAsia="PingFang SC"/>
          <w:b/>
        </w:rPr>
        <w:t>反例驱动的 JudgeBench。</w:t>
      </w:r>
      <w:r>
        <w:rPr>
          <w:rFonts w:ascii="Calibri" w:hAnsi="Calibri" w:eastAsia="PingFang SC"/>
        </w:rPr>
        <w:t xml:space="preserve"> 用 general-good、over-personalized、mention-only、wrong-user 和 persona-keyword artifacts 审计动态 rubric 是否真的绑定到最终决策，而非只奖励关键词和一般质量；</w:t>
      </w:r>
    </w:p>
    <w:p>
      <w:pPr>
        <w:numPr>
          <w:ilvl w:val="0"/>
          <w:numId w:val="28"/>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ledger/contracts/final rubric；区分“信息给到后会用”与“需要交互获取时仍能用”；</w:t>
      </w:r>
    </w:p>
    <w:p>
      <w:pPr>
        <w:numPr>
          <w:ilvl w:val="0"/>
          <w:numId w:val="28"/>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能构造自然的 paired users，并在输出前冻结 must-change/must-hold/must-not、task-only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3 个 decision vertical slice、utility schema 与等价 task-shell 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utility 是否可在输出前定义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8–12 family、参与者与主要终点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9"/>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29"/>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9"/>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9"/>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29"/>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29"/>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9"/>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9"/>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9"/>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：3 个端到端 vertical slice 先验证构念；通过后扩到 8–12 个决策 family。预计约 36–48 名真实目标用户，但最终样本量由 pilot 方差和最小有意义 regret 改善做功效模拟后冻结。</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：首版只验证一件核心事情：个性化研究交付物是否因果性地改善目标用户的可验证决策。若 CFA 高而 DDE 不提高，论文将报告 artifact-fit 代理失效。论文不声称覆盖所有 DR 模式，也不从 final-only 数据推断内部理解机制。</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user/family 方差和 power simulation 冻结 8–12 个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81">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难；E1 后追加约 2–4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service、checkpoint/fork/reset、event scheduler、private workspace/permission、clarification/conflict/update/handoff</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事件前分支等价；未来状态泄漏；时序与权限语义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一个薄层 anchor 的机制诊断</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82">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83">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84">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85">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86">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87">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88">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0"/>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0"/>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0"/>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0"/>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0"/>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0"/>
        </w:numPr>
        <w:spacing w:after="80" w:line="290" w:lineRule="auto"/>
        <w:ind w:left="540" w:hanging="279"/>
      </w:pPr>
      <w:r>
        <w:rPr>
          <w:rFonts w:ascii="Calibri" w:hAnsi="Calibri" w:eastAsia="PingFang SC"/>
        </w:rPr>
        <w:t>只有 3 个 family 中至少 2 个通过 utility、task-shell 等价、报告质量配平和实施可行性门，才扩到 8–12 个；否则优先修改构念和实验设计。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17.8a GPT-5 结果出来后，什么强度才足以进入 Introduction</w:t>
      </w:r>
    </w:p>
    <w:p>
      <w:r>
        <w:rPr>
          <w:rFonts w:ascii="Calibri" w:hAnsi="Calibri" w:eastAsia="PingFang SC"/>
        </w:rPr>
        <w:t>本轮 GPT-5 只生成 PDR-style rubric 并给冻结报告评分。它不会生成 task、persona 或报告，因此它是 evaluator stress test，不是端到端系统比较。预期结果分三层解释，不能跨层升级：</w:t>
      </w:r>
    </w:p>
    <w:p>
      <w:pPr>
        <w:numPr>
          <w:ilvl w:val="0"/>
          <w:numId w:val="31"/>
        </w:numPr>
        <w:spacing w:after="80" w:line="290" w:lineRule="auto"/>
        <w:ind w:left="540" w:hanging="279"/>
      </w:pPr>
      <w:r>
        <w:rPr>
          <w:rFonts w:ascii="Calibri" w:hAnsi="Calibri" w:eastAsia="PingFang SC"/>
          <w:b/>
        </w:rPr>
        <w:t>识别盲区信号：</w:t>
      </w:r>
      <w:r>
        <w:rPr>
          <w:rFonts w:ascii="Calibri" w:hAnsi="Calibri" w:eastAsia="PingFang SC"/>
        </w:rPr>
        <w:t>general-good 对 A/B 都获得高分或接近 matched。这很可能出现，也适合用来直观解释“absolute fit 不等于 specificity”；但因为通用报告可能确实适合两位用户，它不是评分错误，不能单独支撑“PDR-Bench 有缺陷”。</w:t>
      </w:r>
    </w:p>
    <w:p>
      <w:pPr>
        <w:numPr>
          <w:ilvl w:val="0"/>
          <w:numId w:val="31"/>
        </w:numPr>
        <w:spacing w:after="80" w:line="290" w:lineRule="auto"/>
        <w:ind w:left="540" w:hanging="279"/>
      </w:pPr>
      <w:r>
        <w:rPr>
          <w:rFonts w:ascii="Calibri" w:hAnsi="Calibri" w:eastAsia="PingFang SC"/>
          <w:b/>
        </w:rPr>
        <w:t>受控 evaluator 假阳性：</w:t>
      </w:r>
      <w:r>
        <w:rPr>
          <w:rFonts w:ascii="Calibri" w:hAnsi="Calibri" w:eastAsia="PingFang SC"/>
        </w:rPr>
        <w:t xml:space="preserve">两名不知道 artifact 类型的人类标注者一致确认 over-personalized 报告在预冻结 critical decision node 上失败，而 GPT-5 P-Score 在三次重复中仍稳定 </w:t>
      </w:r>
      <w:r>
        <w:rPr>
          <w:rFonts w:ascii="Courier New" w:hAnsi="Courier New" w:eastAsia="PingFang SC"/>
          <w:color w:val="6A3E00"/>
          <w:sz w:val="20"/>
        </w:rPr>
        <w:t>near_matched</w:t>
      </w:r>
      <w:r>
        <w:rPr>
          <w:rFonts w:ascii="Calibri" w:hAnsi="Calibri" w:eastAsia="PingFang SC"/>
        </w:rPr>
        <w:t xml:space="preserve"> 或发生 rank reversal。只有这一层可以在 Introduction 写成“PDR-style absolute evaluator can reward a decision-misaligned report”，并且必须同时报告完整分布、失败节点和反例未成立的方向。</w:t>
      </w:r>
    </w:p>
    <w:p>
      <w:pPr>
        <w:numPr>
          <w:ilvl w:val="0"/>
          <w:numId w:val="31"/>
        </w:numPr>
        <w:spacing w:after="80" w:line="290" w:lineRule="auto"/>
        <w:ind w:left="540" w:hanging="279"/>
      </w:pPr>
      <w:r>
        <w:rPr>
          <w:rFonts w:ascii="Calibri" w:hAnsi="Calibri" w:eastAsia="PingFang SC"/>
          <w:b/>
        </w:rPr>
        <w:t>论文级测量效度证据：</w:t>
      </w:r>
      <w:r>
        <w:rPr>
          <w:rFonts w:ascii="Calibri" w:hAnsi="Calibri" w:eastAsia="PingFang SC"/>
        </w:rPr>
        <w:t>上述分歧至少跨两个不同 family 重复，并在真实或真人确认 family、多个被测系统上导致系统成功判定或排序发生变化；DeepAlign profile 对目标用户盲评/decision outcome 还有 PDR 分数之外的增量预测。只有这一层才足以支撑“现有 absolute evaluation 不足以评价 agent personalization”的主贡献。</w:t>
      </w:r>
    </w:p>
    <w:p>
      <w:r>
        <w:rPr>
          <w:rFonts w:ascii="Calibri" w:hAnsi="Calibri" w:eastAsia="PingFang SC"/>
        </w:rPr>
        <w:t>因此 Introduction 最稳妥的开启不是“我们证明 PDR-Bench 错了”，而是：</w:t>
      </w:r>
      <w:r>
        <w:rPr>
          <w:rFonts w:ascii="Calibri" w:hAnsi="Calibri" w:eastAsia="PingFang SC"/>
          <w:b/>
        </w:rPr>
        <w:t>高 personalization score 不能告诉我们一个 agent 是否真的因用户而改变。</w:t>
      </w:r>
      <w:r>
        <w:rPr>
          <w:rFonts w:ascii="Calibri" w:hAnsi="Calibri" w:eastAsia="PingFang SC"/>
        </w:rPr>
        <w:t xml:space="preserve"> 若 GPT-5 + 人评产生受控假阳性，可紧接一个冻结案例作为 empirical hook；若只复现 general-good 高分，就把它作为构念反例，而不是 benchmark failure。若 over-personalized 被 GPT-5 稳定降分，应明确写成压力测试否决了强假阳性假设，并把论文贡献集中到 paired-user identification，而不是继续寻找更容易骗分的样本。</w:t>
      </w:r>
    </w:p>
    <w:p>
      <w:pPr>
        <w:pStyle w:val="Heading2"/>
      </w:pPr>
      <w:r>
        <w:t>17.9 ICLR 2027 的五天方向冻结门</w:t>
      </w:r>
    </w:p>
    <w:p>
      <w:r>
        <w:rPr>
          <w:rFonts w:ascii="Calibri" w:hAnsi="Calibri" w:eastAsia="PingFang SC"/>
        </w:rPr>
        <w:t>ICLR 2027 官方 Author Guidelines 给出的 abstract deadline 是 2026-09-11 AOE，paper deadline 是 2026-09-16 AOE。以 2026-08-12 计算，距离摘要约 30 天、全文约 35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leaf、样本、实现细节和写法。若五天后仍在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2"/>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2"/>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2"/>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2"/>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89">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81">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82">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83">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84">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85">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86">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87">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88">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90">
        <w:r>
          <w:rPr>
            <w:rFonts w:ascii="Calibri" w:hAnsi="Calibri" w:eastAsia="PingFang SC"/>
            <w:color w:val="2E74B5"/>
            <w:u w:val="single"/>
            <w:sz w:val="16"/>
            <w:szCs w:val="16"/>
          </w:rPr>
          <w:t>https://arxiv.org/abs/2601.17087</w:t>
        </w:r>
      </w:hyperlink>
    </w:p>
    <w:p>
      <w:r>
        <w:rPr>
          <w:rFonts w:ascii="Calibri" w:hAnsi="Calibri" w:eastAsia="PingFang SC"/>
          <w:b/>
        </w:rPr>
        <w:t>需要导师优先拍板的四个问题：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广度以换取真人统计功效；（4）伦理审查、招募和真实决策材料能否在时间窗内启动。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arxiv.org/abs/2507.21071" TargetMode="External"/><Relationship Id="rId82" Type="http://schemas.openxmlformats.org/officeDocument/2006/relationships/hyperlink" Target="https://openreview.net/pdf/c2a76eb44300a738cbd7cb95f5bc04df621f4d25.pdf" TargetMode="External"/><Relationship Id="rId83" Type="http://schemas.openxmlformats.org/officeDocument/2006/relationships/hyperlink" Target="https://openreview.net/pdf?id=oKn9c6ytLx" TargetMode="External"/><Relationship Id="rId84" Type="http://schemas.openxmlformats.org/officeDocument/2006/relationships/hyperlink" Target="https://arxiv.org/abs/2510.21652" TargetMode="External"/><Relationship Id="rId85" Type="http://schemas.openxmlformats.org/officeDocument/2006/relationships/hyperlink" Target="https://arxiv.org/abs/2505.21936" TargetMode="External"/><Relationship Id="rId86" Type="http://schemas.openxmlformats.org/officeDocument/2006/relationships/hyperlink" Target="https://media.iclr.cc/Conferences/ICLR2024/ICLR2024-Fact_Sheet.pdf" TargetMode="External"/><Relationship Id="rId87" Type="http://schemas.openxmlformats.org/officeDocument/2006/relationships/hyperlink" Target="https://media.iclr.cc/Conferences/ICLR2026/ICLR2026_Fact_Sheet.pdf" TargetMode="External"/><Relationship Id="rId88" Type="http://schemas.openxmlformats.org/officeDocument/2006/relationships/hyperlink" Target="https://arxiv.org/abs/2510.18560" TargetMode="External"/><Relationship Id="rId89" Type="http://schemas.openxmlformats.org/officeDocument/2006/relationships/hyperlink" Target="https://openreview.net/pdf?id=zAdUB0aCTQ" TargetMode="External"/><Relationship Id="rId90"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