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headerReference w:type="even" r:id="rId11"/>
          <w:footerReference w:type="even" r:id="rId12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测用户离线时有证据的推断；最终交付物另过非补偿条件。</w:t>
      </w:r>
    </w:p>
    <w:p>
      <w:pPr>
        <w:sectPr>
          <w:headerReference w:type="default" r:id="rId13"/>
          <w:footerReference w:type="default" r:id="rId14"/>
          <w:headerReference w:type="even" r:id="rId15"/>
          <w:footerReference w:type="even" r:id="rId16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23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24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6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7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benchmark。v0.65 的正确状态是：50→15 pre-output task screen 和六题 pilot 已冻结；4 个 Code/Data task 的 8 个 synthetic A/B persona、rubric 与三域 S0 prompts 已生成并通过结构校验。第一批真实运行里，Codex 的 Research、Code 过了 S0，Data 因没有问“两季度、每周 scale/stop”而失败；Claude 三题根本没到模型，均因企业账户余额不足返回 401，所以不能算 Claude 做错。</w:t>
      </w:r>
    </w:p>
    <w:p>
      <w:r>
        <w:rPr>
          <w:rFonts w:ascii="Calibri" w:hAnsi="Calibri" w:eastAsia="PingFang SC"/>
        </w:rPr>
        <w:t>同时，一个 PDR-T30 个人媒体任务的最小产品实验已经闭环。只给 task 且允许自由问时，ChatGPT Deep Research 确实主动问了六个有用问题；最终个性化分从 no-ask 的 5.596 提到 6.033，但离 full-persona 的 6.703 仍有 0.669，只恢复了 39.53% 的可恢复差距。它问到并落实了 AI/创业内容、长期品牌目标、工作日清晨/周末家庭优先和 ROI 偏好；最大的损失来自根本没问身份资历、既有平台与工具、跨境背景和合规边界。这个结果只有一个任务、一个 persona、一个产品 agent；full 条件也可以追问，评分通过产品临时会话而不是官方 API，所以只能说明最小机制有信号，不能当排行榜或总体结论。Gemini CLI 仍需本人登录；真实 repo/data 没绑定就不能说 Code/Data artifact smoke 已通过，synthetic persona 没经过两人确认也不能进正式结果。</w:t>
      </w:r>
    </w:p>
    <w:p>
      <w:r>
        <w:rPr>
          <w:rFonts w:ascii="Calibri" w:hAnsi="Calibri" w:eastAsia="PingFang SC"/>
        </w:rPr>
        <w:t>第二个 pilot 没有扩到 30 题，而是马上换到 PDR-T01 的 AI PhD 任务，用同一个 User1 persona 比较两个产品 agent。两边都只看到同一条 task 和“有必要时可自由追问”的许可。ChatGPT 问了一轮，拆开后有 15 个可独立回答的槽位，覆盖事先冻结的 7 类关键偏好；Gemini 直接生成研究计划并开始搜索，一个问题也没问。因此两者的 critical-preference recall 是 1.00 对 0，提问集合的 Jaccard 相似度也是 0。三次盲评分数为 7.057 对 6.065，差 0.992；分差主要来自方向验证、学校与导师 fit、以及能落地的背景提升计划，而不是所有通用事实都更好。这个结果说明不同 agent system 真的会在“要不要问、问什么”上作出不同选择；但产品切换也同时改变模型、planner、搜索和写作策略，所以还不能说 0.992 全是提问造成的，更不能据此排产品名次。</w:t>
      </w:r>
    </w:p>
    <w:p>
      <w:r>
        <w:rPr>
          <w:rFonts w:ascii="Calibri" w:hAnsi="Calibri" w:eastAsia="PingFang SC"/>
        </w:rPr>
        <w:t>接着把第一个 PDR-T30 pilot 拆到更细：原来的 44 条打分标准被映射成 22 个具体偏好单元，例如内容方向、受众、出镜方式、每周时间、清晨/家庭边界、预算、ROI、长期品牌、创始人身份、公司用途、技术背景、平台、工具、数据决策、社群、变现、地域、跨境、风险和合规。Interactive 六个大问题实际碰到 11/22 个单元，最后真正“问到—得到答案—写进报告”的只有 5 个。Full Persona 一开始已经知道 14/22；它后来问的五个问题都不是无意义重复，因为 persona 确实没有写目标排序、每周小时、团队协助、项目预算、出镜和目标受众。不过这些答案也没有新增一个确定偏好，说明问题合理不代表 hidden persona 一定能回答。真正的 Full miss 是：它知道用户是中国 AI 公司创始人、重视风险控制，却仍没追问 NDA、客户保密、IP、PIPL/CAC 或跨境边界，也没在报告里落实相应 safeguards。这套 22-unit 编码目前只有一位 coder，下一步应先做盲化复标，而不是马上扩到 30 题。</w:t>
      </w:r>
    </w:p>
    <w:p>
      <w:r>
        <w:rPr>
          <w:rFonts w:ascii="Calibri" w:hAnsi="Calibri" w:eastAsia="PingFang SC"/>
        </w:rPr>
        <w:t>最新的 PDR-T35 户外装备 pilot 专门想看“两个 agent 会不会把问题预算投向真正重要的偏好”。运行前先冻结 8 项：活动/环境、安全风险、预算与质量三项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，体能负重、导航技术、分阶段采购与收纳三项 medium-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，呈现方式与可持续性两项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。结果比预想更基础：ChatGPT 和 Gemini 都一个 task-specific 问题也没问，high/medium/low recall 和 weighted coverage 全是 0。Gemini 只是让用户确认研究计划，没有索取任何偏好值，因此不算 clarification。原 PDR 37 条标准的三次盲评分别得到 5.5383 和 5.7033，但因为两边都没有获取信息，这 0.1649 的差不能解释为谁更会问。两份报告都靠任务常识默认覆盖了安全、性价比、分阶段购买和结构化呈现，所以“不问”不等于报告完全没个性化分；它只说明分数来自默认推断，而不是用户信息获取。这个共同 zero-ask floor 值得记录，但还不能支撑直接扩 30 题；应先增加少量重复，并确认产品确实允许在启动研究前停下来问。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</w:t>
      </w:r>
      <w:hyperlink r:id="rId2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8"/>
      <w:footerReference w:type="default" r:id="rId19"/>
      <w:headerReference w:type="even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1.png"/><Relationship Id="rId18" Type="http://schemas.openxmlformats.org/officeDocument/2006/relationships/header" Target="header5.xml"/><Relationship Id="rId19" Type="http://schemas.openxmlformats.org/officeDocument/2006/relationships/footer" Target="footer5.xml"/><Relationship Id="rId20" Type="http://schemas.openxmlformats.org/officeDocument/2006/relationships/header" Target="header6.xml"/><Relationship Id="rId21" Type="http://schemas.openxmlformats.org/officeDocument/2006/relationships/footer" Target="footer6.xml"/><Relationship Id="rId22" Type="http://schemas.openxmlformats.org/officeDocument/2006/relationships/hyperlink" Target="https://arxiv.org/abs/2509.25106" TargetMode="External"/><Relationship Id="rId23" Type="http://schemas.openxmlformats.org/officeDocument/2006/relationships/hyperlink" Target="https://github.com/OPPO-PersonalAI/PersonalizedDeepResearchBench" TargetMode="External"/><Relationship Id="rId24" Type="http://schemas.openxmlformats.org/officeDocument/2006/relationships/hyperlink" Target="https://aclanthology.org/2026.acl-long.723/" TargetMode="External"/><Relationship Id="rId25" Type="http://schemas.openxmlformats.org/officeDocument/2006/relationships/hyperlink" Target="https://aclanthology.org/2026.acl-long.2079/" TargetMode="External"/><Relationship Id="rId26" Type="http://schemas.openxmlformats.org/officeDocument/2006/relationships/hyperlink" Target="https://arxiv.org/abs/2608.05876" TargetMode="External"/><Relationship Id="rId27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