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3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headerReference w:type="even" r:id="rId11"/>
          <w:footerReference w:type="even" r:id="rId12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8"/>
          <w:footerReference w:type="default" r:id="rId19"/>
          <w:headerReference w:type="even" r:id="rId20"/>
          <w:footerReference w:type="even" r:id="rId2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3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 xml:space="preserve">v0.63 已把候选实例化为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>：4 个 Code/Data task、8 个 A/B user states、4 套 100 分 rubric 与三域 S0 prompts。该包只用于 interaction/parser/reset 排障；真实 repo/data 未绑定前不是 artifact smoke，双人确认前不是 gold。细 rubric 的 2 分要求代码、测试、计算、阈值、停止规则、行动排序或 matched/swapped diff；只写“考虑了 X”最多 1 分。</w:t>
      </w:r>
    </w:p>
    <w:p>
      <w:r>
        <w:rPr>
          <w:rFonts w:ascii="Calibri" w:hAnsi="Calibri" w:eastAsia="PingFang SC"/>
        </w:rPr>
        <w:t>v0.64 首轮 live S0 中，Codex 三题得到 Research PASS、Code PASS with warning、Data FAIL：失败来自遗漏 decision horizon，说明“问到部分 high-δ”不能替代完整 specification recovery。Claude 三题均在模型接收输入前因企业账户余额不足返回 HTTP 401、token 为 0，只记鉴权基础设施失败，不计 agent 能力分。该结果只用于修 harness 与指标，不形成排行榜结论。</w:t>
      </w:r>
    </w:p>
    <w:p>
      <w:r>
        <w:rPr>
          <w:rFonts w:ascii="Calibri" w:hAnsi="Calibri" w:eastAsia="PingFang SC"/>
        </w:rPr>
        <w:t>v0.65 的单任务 PDR-T30 × User12 × ChatGPT Deep Research pilot 已跑通三条件和原始 PDR 44 条 criteria 的盲化三重复评分：Full=6.703、No-Ask=5.596、Interactive=6.033，InteractiveGain=+0.438，RecoveryRatio=39.53%。Interactive 问了六个 task-relevant 问题，恢复了时间安排、AI/创业方向、长期品牌目标和 ROI 偏好，但未问 founder/company role、技术资历、既有平台/工具、跨境和合规信息。该 n=1 product-UI 结果只验证 signal 与失败链；full 也获准追问，评分 transport 不是官方 API，因此不进入确认性主表。</w:t>
      </w:r>
    </w:p>
    <w:p>
      <w:r>
        <w:rPr>
          <w:rFonts w:ascii="Calibri" w:hAnsi="Calibri" w:eastAsia="PingFang SC"/>
        </w:rPr>
        <w:t>v0.66 的 PDR-T01 × User1 双 agent pilot 固定同一 instruction-only + free-clarification 输入。ChatGPT 用一轮 15 个 atomic slots 覆盖 7/7 个预冻结 critical preference clusters，Gemini 没有提问，asked-cluster Jaccard=0；原始 34 条 PDR criteria 的盲化三重复 P-score 为 7.057 与 6.065，差值 +0.992。最大优势集中在个性化方向验证、fit-based shortlist 和可衡量背景提升，而 Gemini 在通用地区比较表和就业信息上更强。该结果证明 agent system 可以采用不同 clarification policy，但产品组件同时变化，不能把分差单独归因于提问或写成排行榜。</w:t>
      </w:r>
    </w:p>
    <w:p>
      <w:r>
        <w:rPr>
          <w:rFonts w:ascii="Calibri" w:hAnsi="Calibri" w:eastAsia="PingFang SC"/>
        </w:rPr>
        <w:t xml:space="preserve">v0.67 将 PDR-T30 的 44 条 criteria 映射为 22 个 atomic preference units，并编码 </w:t>
      </w:r>
      <w:r>
        <w:rPr>
          <w:rFonts w:ascii="Courier New" w:hAnsi="Courier New" w:eastAsia="PingFang SC"/>
          <w:color w:val="6A3E00"/>
          <w:sz w:val="20"/>
        </w:rPr>
        <w:t>known/asked/resolved/reflected</w:t>
      </w:r>
      <w:r>
        <w:rPr>
          <w:rFonts w:ascii="Calibri" w:hAnsi="Calibri" w:eastAsia="PingFang SC"/>
        </w:rPr>
        <w:t xml:space="preserve">。Interactive 六问覆盖 11/22，严格完成全链 5/22；Full 首轮前已知 14/22。Full 五问全部针对 persona 未说明的 residual values，故 0/5 redundant、5/5 reasonable verification；没有新增 resolved unit 是 persona under-specification，不是 over-asking。该单-coder 诊断尚需独立复标，rubric-influence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不作因果解释。</w:t>
      </w:r>
    </w:p>
    <w:p>
      <w:r>
        <w:rPr>
          <w:rFonts w:ascii="Calibri" w:hAnsi="Calibri" w:eastAsia="PingFang SC"/>
        </w:rPr>
        <w:t>v0.68 的 PDR-T35 × User8 “Ask What Matters” pilot 在运行前冻结 8 个 preference units（3 high、3 medium、2 low，权重 17），让 ChatGPT research-capable 配置和 Gemini Deep Research 接收完全相同的 instruction-only + free-clarification 输入。两边均为 0 个 task-specific question，各档 recall 与 weighted coverage 全为 0；37 条原 criteria 的盲化三重复均值为 5.5383 与 5.7033。分差不能归因于 clarification，因为两边都没有 acquisition。该结果只识别 permission-only zero-ask floor，下一步先做小规模 repeats 与产品提问表面复验，不直接扩 30 题。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 冻结 PDR-T01、PDR-T30、SW001、SW013、DA003、DA015。每题一个 A/B 用户对，在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；Ask 跑 A0/A1/A2，两个 DR 题另跑 I1 history 与 I3 Full-Persona bridge，A0=I0、A2=I2 精确复用。Codex CLI、Claude Code、Gemini CLI 三个必跑系统共 114 个唯一 episode；条件性加入 OpenHands 后为 152。matched block 在 2–6 小时内随机顺序完成，整批目标 48–72 小时并重跑 5%–10% anchors。该规模只验证操纵、日志、rubric 和近邻增量。</w:t>
      </w:r>
    </w:p>
    <w:p>
      <w:r>
        <w:rPr>
          <w:rFonts w:ascii="Calibri" w:hAnsi="Calibri" w:eastAsia="PingFang SC"/>
        </w:rPr>
        <w:t>9 月 14 日过门后，第一轮只扩到 12 个独立基础任务（Deep Research、Coding、Data 各 4 个），作为截止期内 scoped agent-system leaderboard 的候选规模。通过人工 qualification 的 15 个 PDR task 加 Coding/Data 各 8 个只构成后续 31 题规划上限，不是两周承诺。最终规模由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23"/>
          <w:footerReference w:type="default" r:id="rId24"/>
          <w:headerReference w:type="even" r:id="rId25"/>
          <w:footerReference w:type="even" r:id="rId2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arxiv.org/abs/2509.25106" TargetMode="External"/><Relationship Id="rId14" Type="http://schemas.openxmlformats.org/officeDocument/2006/relationships/hyperlink" Target="https://arxiv.org/abs/2608.05876" TargetMode="External"/><Relationship Id="rId15" Type="http://schemas.openxmlformats.org/officeDocument/2006/relationships/hyperlink" Target="https://arxiv.org/abs/2601.06676" TargetMode="External"/><Relationship Id="rId16" Type="http://schemas.openxmlformats.org/officeDocument/2006/relationships/hyperlink" Target="https://arxiv.org/abs/2602.03468" TargetMode="External"/><Relationship Id="rId17" Type="http://schemas.openxmlformats.org/officeDocument/2006/relationships/hyperlink" Target="https://arxiv.org/abs/2606.27669" TargetMode="External"/><Relationship Id="rId18" Type="http://schemas.openxmlformats.org/officeDocument/2006/relationships/header" Target="header3.xml"/><Relationship Id="rId19" Type="http://schemas.openxmlformats.org/officeDocument/2006/relationships/footer" Target="footer3.xml"/><Relationship Id="rId20" Type="http://schemas.openxmlformats.org/officeDocument/2006/relationships/header" Target="header4.xml"/><Relationship Id="rId21" Type="http://schemas.openxmlformats.org/officeDocument/2006/relationships/footer" Target="footer4.xml"/><Relationship Id="rId22" Type="http://schemas.openxmlformats.org/officeDocument/2006/relationships/image" Target="media/image1.png"/><Relationship Id="rId23" Type="http://schemas.openxmlformats.org/officeDocument/2006/relationships/header" Target="header5.xml"/><Relationship Id="rId24" Type="http://schemas.openxmlformats.org/officeDocument/2006/relationships/footer" Target="footer5.xml"/><Relationship Id="rId25" Type="http://schemas.openxmlformats.org/officeDocument/2006/relationships/header" Target="header6.xml"/><Relationship Id="rId26" Type="http://schemas.openxmlformats.org/officeDocument/2006/relationships/footer" Target="footer6.xml"/><Relationship Id="rId27" Type="http://schemas.openxmlformats.org/officeDocument/2006/relationships/hyperlink" Target="https://github.com/OPPO-PersonalAI/PersonalizedDeepResearchBench" TargetMode="External"/><Relationship Id="rId28" Type="http://schemas.openxmlformats.org/officeDocument/2006/relationships/hyperlink" Target="https://aclanthology.org/2026.acl-long.2079/" TargetMode="External"/><Relationship Id="rId29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